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Техническое задание на предоставление гостиничных услуг, включающий в себя предоставление транспорта и питания.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Заказчик: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ОО Новый Ритм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Локация: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Город Ош и Бишкек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Информация об организации: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Общественное Объединение (ОО) “Новый Ритм” является молодежной организацией с миссией повышения качества жизни молодежи через продвижение прав человека и гендерного равенства на юге Кыргызстана. Организация ведет свою деятельность с 2014 года по таким основным направлениям, как: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Образование и просвещение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Поддержка и защита прав молодежи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Продвижение гендерного равенства и ЗОЖ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Развитие гражданского общества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Предмет закупки: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Размещение в гостинице,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номерах соответствующего уровня комфорта (одноместные и двухместные номера) с уборкой и предоставлением всех необходимых удобств.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Питание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включающее предоставление трехразового питание (завтрак, обед, ужин), а также организацию кофе-брейков при запросе со стороны заказчика.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00" w:before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Транспортное обслуживание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включающее: Трансферы участников от/до аэропорта 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numPr>
          <w:ilvl w:val="0"/>
          <w:numId w:val="3"/>
        </w:numPr>
        <w:spacing w:after="0" w:before="200" w:lineRule="auto"/>
        <w:ind w:left="720" w:hanging="360"/>
        <w:jc w:val="both"/>
        <w:rPr>
          <w:b w:val="1"/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Общие требовани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numPr>
          <w:ilvl w:val="1"/>
          <w:numId w:val="3"/>
        </w:numPr>
        <w:spacing w:after="0" w:before="0" w:lineRule="auto"/>
        <w:ind w:left="1440" w:hanging="360"/>
        <w:jc w:val="both"/>
        <w:rPr/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Обеспечить гостиничных услуг, включающая в себя: размещение, транспортное обслуживание и питание. Все услуги должны предоставляться на высоком уровне, в соответствии с международными стандартами гостиничного сервиса.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Требования к гостиничным услугам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before="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Местоположение гостиницы.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Гостиница должна быть расположена в пределах городской черты, с удобным доступом к основным транспортным узлам и месту проведения мероприятия. Желательно наличие в шаговой доступности ресторанов, магазинов и других инфраструктурных объектов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before="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Категория гостиницы.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Гостиница должна иметь не менее 3 звезд и предоставлять услуги высокого качества, включая комфортабельные номера, услуги консьержа, бесплатный доступ к Wi-Fi, уборку раз в три дня.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before="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Размещение участников: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Размещение должно быть организовано в одноместных и двухместных номерах с современными удобствами, такими как кондиционер, телевизор, мини-бар, рабочая зона, и доступ к высокоскоростному интернету.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каждом номере должны быть предоставлены средства личной гигиены, полотенца, тапочки, халаты.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2"/>
          <w:numId w:val="3"/>
        </w:numPr>
        <w:spacing w:after="0" w:before="0" w:lineRule="auto"/>
        <w:ind w:left="216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Время заселения и выезда должно быть гибким, с возможностью раннего заселения и позднего выезда по запросу.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Требования к питанию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before="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Предоставление завтрака должно быть включено в стоимость при бронировании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before="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Должны быть предусмотрены обеды и ужины в ресторане гостиницы или по согласованному меню. Обязательно включение в меню различных опций, включая вегетарианские и диетические блюда. Также должна быть возможность их доставки в другие места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before="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Предоставление кофе брейков на месте и на выезд, тоже должен быть включен</w:t>
      </w:r>
    </w:p>
    <w:p w:rsidR="00000000" w:rsidDel="00000000" w:rsidP="00000000" w:rsidRDefault="00000000" w:rsidRPr="00000000" w14:paraId="0000001B">
      <w:pPr>
        <w:spacing w:after="0" w:before="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Требования к транспорту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Водители должны обладать техническими знаниями и навыками для определения и устранения мелких неполадок и ремонта автомобиля в пути;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Седан (5 местный), Минивен (7 местный), минибус (16-18 местный).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Транспорт  должен иметь надлежащий внешний вид и салон.</w:t>
      </w:r>
    </w:p>
    <w:p w:rsidR="00000000" w:rsidDel="00000000" w:rsidP="00000000" w:rsidRDefault="00000000" w:rsidRPr="00000000" w14:paraId="00000020">
      <w:pPr>
        <w:spacing w:after="0" w:before="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numPr>
          <w:ilvl w:val="0"/>
          <w:numId w:val="3"/>
        </w:numPr>
        <w:spacing w:after="0" w:before="0" w:lineRule="auto"/>
        <w:ind w:left="720" w:hanging="360"/>
        <w:jc w:val="both"/>
        <w:rPr>
          <w:color w:val="000000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Условия оплаты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numPr>
          <w:ilvl w:val="1"/>
          <w:numId w:val="3"/>
        </w:numPr>
        <w:spacing w:after="0" w:before="0" w:lineRule="auto"/>
        <w:ind w:left="1440" w:hanging="360"/>
        <w:jc w:val="both"/>
        <w:rPr>
          <w:color w:val="000000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Оплата производится по безналичному расчету.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numPr>
          <w:ilvl w:val="1"/>
          <w:numId w:val="3"/>
        </w:numPr>
        <w:spacing w:after="0" w:before="0" w:lineRule="auto"/>
        <w:ind w:left="1440" w:hanging="360"/>
        <w:jc w:val="both"/>
        <w:rPr/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Условия оплаты:  100% оплата после предоставления услуг Заказчику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Требования к участникам тендера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after="0" w:before="0" w:lineRule="auto"/>
        <w:ind w:left="144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Участники должны предоставить следующие документы: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2"/>
          <w:numId w:val="3"/>
        </w:numPr>
        <w:spacing w:after="0" w:before="0" w:lineRule="auto"/>
        <w:ind w:left="21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Коммерческое предложение с указанием стоимости номеров в отеле и меню отеля или же ресторана со стоимостью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2"/>
          <w:numId w:val="3"/>
        </w:numPr>
        <w:spacing w:after="0" w:before="0" w:lineRule="auto"/>
        <w:ind w:left="216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Свидетельство ИП или ОсОО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2"/>
          <w:numId w:val="3"/>
        </w:numPr>
        <w:spacing w:after="0" w:before="0" w:lineRule="auto"/>
        <w:ind w:left="21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Предоставление договора со стороны Поставщика, составление акта выполненных услуг и выставление ЭСФ ( Электронная счет фактура)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Сроки подачи заявки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0" w:before="0" w:lineRule="auto"/>
        <w:ind w:left="1440" w:hanging="360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Заявки принимаются до 28 октября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Контактные данные для подачи заявок и вопросов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spacing w:after="0" w:before="0" w:lineRule="auto"/>
        <w:ind w:left="144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Электронная почта: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newrhythm.2014@gmail.com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spacing w:before="0" w:lineRule="auto"/>
        <w:ind w:left="144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Телефон: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+996 556 473 447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Примечание: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Заказчик оставляет за собой право отклонить любые и все предложения по своему усмотрению и не обязан принимать самое низкое или любое другое предложение.</w:t>
      </w:r>
    </w:p>
    <w:p w:rsidR="00000000" w:rsidDel="00000000" w:rsidP="00000000" w:rsidRDefault="00000000" w:rsidRPr="00000000" w14:paraId="00000031">
      <w:pPr>
        <w:spacing w:befor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cs="Times New Roman" w:eastAsia="Times New Roman" w:hAnsi="Times New Roman"/>
        <w:b w:val="1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cs="Times New Roman" w:eastAsia="Times New Roman" w:hAnsi="Times New Roman"/>
        <w:b w:val="1"/>
        <w:color w:val="000000"/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cs="Times New Roman" w:eastAsia="Times New Roman" w:hAnsi="Times New Roman"/>
        <w:b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ewrhythm.20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ClZozGEphFTPtksSKVtnyJFQKg==">CgMxLjAyCGguZ2pkZ3hzMgloLjMwajB6bGwyCWguMWZvYjl0ZTIJaC4zem55c2g3MgloLjJldDkycDAyCGgudHlqY3d0OAByITE3VXB1U2ZNYmRGRHA5WGVwVXlIRkN2a05zMU9FV3RkVg==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