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BA1C" w14:textId="77777777" w:rsidR="00AA1E8B" w:rsidRPr="00AA1E8B" w:rsidRDefault="00180C40" w:rsidP="0078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ЦЕНТР КЛИМАТИЧЕСКО</w:t>
      </w:r>
      <w:r w:rsidR="00AA1E8B"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</w:t>
      </w:r>
      <w:r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ФИНАНСИРОВАНИ</w:t>
      </w:r>
      <w:r w:rsidR="00AA1E8B"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Я</w:t>
      </w:r>
      <w:r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6E7CEC"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ПРИ </w:t>
      </w:r>
    </w:p>
    <w:p w14:paraId="6B2DEB42" w14:textId="1FF35D1C" w:rsidR="00180C40" w:rsidRPr="00AA1E8B" w:rsidRDefault="006E7CEC" w:rsidP="0078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КАБИНЕТЕ МИНИСТРОВ КЫРГЫЗСКОЙ РЕСПУБЛИКИ</w:t>
      </w:r>
    </w:p>
    <w:p w14:paraId="386A88AC" w14:textId="77777777" w:rsidR="00180C40" w:rsidRPr="00AA1E8B" w:rsidRDefault="00180C40" w:rsidP="0078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14:paraId="1DC74846" w14:textId="5BA7335E" w:rsidR="00991B6B" w:rsidRPr="00AA1E8B" w:rsidRDefault="00991B6B" w:rsidP="007839F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AA1E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ТЕХНИЧЕСКОЕ ЗАДАНИЕ</w:t>
      </w:r>
    </w:p>
    <w:p w14:paraId="012C79CE" w14:textId="77777777" w:rsidR="00991B6B" w:rsidRPr="00AA1E8B" w:rsidRDefault="00991B6B" w:rsidP="0078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ИНДИВИДУАЛЬНОГО КОНСУЛЬТАНТА</w:t>
      </w:r>
    </w:p>
    <w:p w14:paraId="5CFFB0AD" w14:textId="77777777" w:rsidR="00A72BA8" w:rsidRPr="00AA1E8B" w:rsidRDefault="00A72BA8" w:rsidP="0078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14:paraId="451780F2" w14:textId="69A2327C" w:rsidR="00A72BA8" w:rsidRPr="00AA1E8B" w:rsidRDefault="00EC08E7" w:rsidP="00EC08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A1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ЭКСПЕРТ ПО УПРАВЛЕНИЮ ЗНАНИЯМИ И РАЗВИТИЮ НАВЫКОВ</w:t>
      </w:r>
    </w:p>
    <w:p w14:paraId="35EE45D8" w14:textId="77777777" w:rsidR="00EC08E7" w:rsidRPr="00AA1E8B" w:rsidRDefault="00EC08E7" w:rsidP="00EC08E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</w:p>
    <w:p w14:paraId="28B2089B" w14:textId="28258D67" w:rsidR="005E4205" w:rsidRPr="00AA1E8B" w:rsidRDefault="005E4205" w:rsidP="005E4205">
      <w:pPr>
        <w:pStyle w:val="Normal1"/>
        <w:tabs>
          <w:tab w:val="left" w:pos="4253"/>
        </w:tabs>
        <w:spacing w:after="120"/>
        <w:jc w:val="both"/>
        <w:rPr>
          <w:sz w:val="24"/>
          <w:szCs w:val="24"/>
        </w:rPr>
      </w:pPr>
      <w:r w:rsidRPr="00AA1E8B">
        <w:rPr>
          <w:sz w:val="24"/>
          <w:szCs w:val="24"/>
        </w:rPr>
        <w:t xml:space="preserve">Настоящее Техническое Задание охватывает сферу деятельности </w:t>
      </w:r>
      <w:r w:rsidR="00EC08E7" w:rsidRPr="00AA1E8B">
        <w:rPr>
          <w:sz w:val="24"/>
          <w:szCs w:val="24"/>
        </w:rPr>
        <w:t>Эксперта по управлению знаниями и развитию навыков</w:t>
      </w:r>
      <w:r w:rsidRPr="00AA1E8B">
        <w:rPr>
          <w:sz w:val="24"/>
          <w:szCs w:val="24"/>
        </w:rPr>
        <w:t>.</w:t>
      </w:r>
    </w:p>
    <w:p w14:paraId="35982436" w14:textId="77777777" w:rsidR="005E4205" w:rsidRPr="00AA1E8B" w:rsidRDefault="005E4205" w:rsidP="007839F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</w:p>
    <w:p w14:paraId="576CF6F4" w14:textId="3B5F7D08" w:rsidR="004F0B20" w:rsidRPr="00AA1E8B" w:rsidRDefault="004F0B20" w:rsidP="00561FE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AA1E8B">
        <w:rPr>
          <w:rFonts w:ascii="Times New Roman" w:hAnsi="Times New Roman" w:cs="Times New Roman"/>
          <w:b/>
          <w:sz w:val="24"/>
          <w:szCs w:val="24"/>
          <w:lang w:val="ru-RU"/>
        </w:rPr>
        <w:t>ИСХОДНАЯ</w:t>
      </w:r>
      <w:r w:rsidRPr="00AA1E8B">
        <w:rPr>
          <w:b/>
          <w:caps/>
          <w:sz w:val="24"/>
          <w:szCs w:val="24"/>
          <w:lang w:eastAsia="en-GB"/>
        </w:rPr>
        <w:t xml:space="preserve"> </w:t>
      </w:r>
      <w:r w:rsidRPr="00AA1E8B"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14:paraId="0A4AC796" w14:textId="04E07C09" w:rsidR="004F0B20" w:rsidRPr="00AA1E8B" w:rsidRDefault="004F0B20" w:rsidP="004F0B20">
      <w:pPr>
        <w:pStyle w:val="Normal1"/>
        <w:tabs>
          <w:tab w:val="left" w:pos="4253"/>
        </w:tabs>
        <w:spacing w:after="120"/>
        <w:jc w:val="both"/>
        <w:rPr>
          <w:sz w:val="24"/>
          <w:szCs w:val="24"/>
        </w:rPr>
      </w:pPr>
      <w:r w:rsidRPr="00AA1E8B">
        <w:rPr>
          <w:sz w:val="24"/>
          <w:szCs w:val="24"/>
        </w:rPr>
        <w:t>Кыргызская Республика - одна из стран Центральноазиатского региона, наиболее уязвимых для рисков изменения климата, что во многом объясняется ее ледниковыми гидрологическими условиями и гор</w:t>
      </w:r>
      <w:r w:rsidR="00FF570A" w:rsidRPr="00AA1E8B">
        <w:rPr>
          <w:sz w:val="24"/>
          <w:szCs w:val="24"/>
          <w:lang w:val="ky-KG"/>
        </w:rPr>
        <w:t>н</w:t>
      </w:r>
      <w:proofErr w:type="spellStart"/>
      <w:r w:rsidRPr="00AA1E8B">
        <w:rPr>
          <w:sz w:val="24"/>
          <w:szCs w:val="24"/>
        </w:rPr>
        <w:t>ым</w:t>
      </w:r>
      <w:proofErr w:type="spellEnd"/>
      <w:r w:rsidRPr="00AA1E8B">
        <w:rPr>
          <w:sz w:val="24"/>
          <w:szCs w:val="24"/>
        </w:rPr>
        <w:t xml:space="preserve"> характером рельефа. Ключевые экономические сектора подвержены воздействию такого изменения, которое еще более усугубляется состоянием инфраструктуры в стране. </w:t>
      </w:r>
    </w:p>
    <w:p w14:paraId="71D769E8" w14:textId="1D268B0D" w:rsidR="004F0B20" w:rsidRPr="00AA1E8B" w:rsidRDefault="004F0B20" w:rsidP="004F0B20">
      <w:pPr>
        <w:pStyle w:val="Normal1"/>
        <w:tabs>
          <w:tab w:val="left" w:pos="4253"/>
        </w:tabs>
        <w:spacing w:after="120"/>
        <w:jc w:val="both"/>
        <w:rPr>
          <w:sz w:val="24"/>
          <w:szCs w:val="24"/>
        </w:rPr>
      </w:pPr>
      <w:r w:rsidRPr="00AA1E8B">
        <w:rPr>
          <w:sz w:val="24"/>
          <w:szCs w:val="24"/>
        </w:rPr>
        <w:t>Кыргызская Республика активно работает над решением этих проблем путем разработки системы координации климатического финансирования в целях действенного учета аспектов изменения климата при планировании устойчивого развития. В 2015 г. республика присоединилась к Пилотной программе по адаптации к изменению климата ("ППАИК"), поддерживаемой Климатическим инвестиционным фондом ("КИФ"). ППАИК предоставила финансовую поддержку, которая позволит Кыргызской Республике разработать стратегический механизм планирования инвестиций в адаптацию к изменению климата - Климатическая инвестиционная программа ("КИП") -- и систему координации климатического финансирования для эффективного управления реализацией Климатической программы. Разработка системы координации была поддержана международными финансовыми институтами во главе с Европейским Банком Реконструкции и Развития ("ЕБРР"), а также Азиатским Банком Развития (АБР), Всемирным Банком</w:t>
      </w:r>
      <w:r w:rsidR="00AA1E8B" w:rsidRPr="00AA1E8B">
        <w:rPr>
          <w:sz w:val="24"/>
          <w:szCs w:val="24"/>
          <w:lang w:val="ky-KG"/>
        </w:rPr>
        <w:t xml:space="preserve"> (“ВБ”)</w:t>
      </w:r>
      <w:r w:rsidRPr="00AA1E8B">
        <w:rPr>
          <w:sz w:val="24"/>
          <w:szCs w:val="24"/>
        </w:rPr>
        <w:t xml:space="preserve"> и сообществом партнеров по развитию в Кыргызской Республике.</w:t>
      </w:r>
    </w:p>
    <w:p w14:paraId="7006CDC2" w14:textId="724DA8ED" w:rsidR="004F0B20" w:rsidRPr="00AA1E8B" w:rsidRDefault="004F0B20" w:rsidP="004F0B20">
      <w:pPr>
        <w:pStyle w:val="Normal1"/>
        <w:tabs>
          <w:tab w:val="left" w:pos="4253"/>
        </w:tabs>
        <w:spacing w:after="120"/>
        <w:jc w:val="both"/>
        <w:rPr>
          <w:sz w:val="24"/>
          <w:szCs w:val="24"/>
        </w:rPr>
      </w:pPr>
      <w:r w:rsidRPr="00AA1E8B">
        <w:rPr>
          <w:sz w:val="24"/>
          <w:szCs w:val="24"/>
        </w:rPr>
        <w:t xml:space="preserve">14 августа 2017 г. Правительство Кыргызской Республики учредило Центр по климатическому финансированию Кыргызской Республики </w:t>
      </w:r>
      <w:r w:rsidR="00FF570A" w:rsidRPr="00AA1E8B">
        <w:rPr>
          <w:sz w:val="24"/>
          <w:szCs w:val="24"/>
          <w:lang w:val="ky-KG"/>
        </w:rPr>
        <w:t>(</w:t>
      </w:r>
      <w:r w:rsidRPr="00AA1E8B">
        <w:rPr>
          <w:sz w:val="24"/>
          <w:szCs w:val="24"/>
        </w:rPr>
        <w:t xml:space="preserve">«ЦКФ») в поддержку мобилизации и получения доступа к климатическим фондам и фондам развития для инвестиций в ключевые сектора экономики. Постановление Кабинета Министров Кыргызской Республики </w:t>
      </w:r>
      <w:r w:rsidR="00AA1E8B" w:rsidRPr="00AA1E8B">
        <w:rPr>
          <w:sz w:val="24"/>
          <w:szCs w:val="24"/>
          <w:lang w:val="ky-KG"/>
        </w:rPr>
        <w:t>№</w:t>
      </w:r>
      <w:r w:rsidRPr="00AA1E8B">
        <w:rPr>
          <w:sz w:val="24"/>
          <w:szCs w:val="24"/>
        </w:rPr>
        <w:t>478 было подписано Премьер-министром Кыргызской Республики. На основании этого постановления ЕБРР получил запрос на оказание содействия Правительству Кыргызской Республики в организации и начале работы нового учреждения.</w:t>
      </w:r>
    </w:p>
    <w:p w14:paraId="7ED7D7B7" w14:textId="77777777" w:rsidR="004F0B20" w:rsidRPr="00AA1E8B" w:rsidRDefault="004F0B20" w:rsidP="004F0B20">
      <w:pPr>
        <w:pStyle w:val="Normal1"/>
        <w:tabs>
          <w:tab w:val="left" w:pos="4253"/>
        </w:tabs>
        <w:spacing w:after="120"/>
        <w:jc w:val="both"/>
        <w:rPr>
          <w:sz w:val="24"/>
          <w:szCs w:val="24"/>
        </w:rPr>
      </w:pPr>
      <w:r w:rsidRPr="00AA1E8B">
        <w:rPr>
          <w:sz w:val="24"/>
          <w:szCs w:val="24"/>
        </w:rPr>
        <w:t xml:space="preserve">Центр климатического финансирования входит в состав более широкой системы координации климатического финансирования, внедренной в Кыргызской Республике в целях успешного и широкомасштабного включения аспектов изменения климата в планирование устойчивого развития, и согласования усилий страны с международными требованиями к климатическому финансированию. Центр климатического финансирования будет действовать в качестве связующего звена с крупными климатическими донорскими организациями, включая Климатический инвестиционный фонд («КИФ»), Зеленый климатический фонд («ЗКФ»), Адаптационный фонд («АФ») и Глобальный экологический </w:t>
      </w:r>
      <w:r w:rsidRPr="00AA1E8B">
        <w:rPr>
          <w:sz w:val="24"/>
          <w:szCs w:val="24"/>
        </w:rPr>
        <w:lastRenderedPageBreak/>
        <w:t xml:space="preserve">Фонд («ГЭФ»), а также сообщество многосторонних банков развития («МБР») и партнеров по развитию, действующих в Кыргызской Республике. Центр климатического финансирования станет головной структурой, координирующей работу в Кыргызской Республике по получению доступа к средствам климатического финансирования и их направлению в преобразующие инвестиции, поддерживающие национальные приоритеты развития. </w:t>
      </w:r>
    </w:p>
    <w:p w14:paraId="5948DD0E" w14:textId="77777777" w:rsidR="00584CE2" w:rsidRPr="00AA1E8B" w:rsidRDefault="00584CE2" w:rsidP="007839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5B55443E" w14:textId="77777777" w:rsidR="005323F2" w:rsidRPr="00AA1E8B" w:rsidRDefault="00440261" w:rsidP="007839F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E8B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</w:p>
    <w:p w14:paraId="5AA63843" w14:textId="19423258" w:rsidR="00E325AA" w:rsidRPr="00AA1E8B" w:rsidRDefault="00EC08E7" w:rsidP="005E42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Эксперт по управлению знаниями и развитию навыков окажет поддержку</w:t>
      </w:r>
      <w:r w:rsidR="00BD7AD4" w:rsidRPr="00AA1E8B">
        <w:rPr>
          <w:rFonts w:ascii="Times New Roman" w:hAnsi="Times New Roman" w:cs="Times New Roman"/>
          <w:sz w:val="24"/>
          <w:szCs w:val="24"/>
          <w:lang w:val="ru-RU"/>
        </w:rPr>
        <w:t>/помощь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ЦКФ </w:t>
      </w:r>
      <w:r w:rsidR="00BD7AD4" w:rsidRPr="00AA1E8B">
        <w:rPr>
          <w:rFonts w:ascii="Times New Roman" w:hAnsi="Times New Roman" w:cs="Times New Roman"/>
          <w:sz w:val="24"/>
          <w:szCs w:val="24"/>
          <w:lang w:val="ru-RU"/>
        </w:rPr>
        <w:t>по подготовке и реализации двух заданий (консультационных услуг)</w:t>
      </w:r>
      <w:r w:rsidR="00FF570A" w:rsidRPr="00AA1E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1D44A8" w14:textId="77777777" w:rsidR="00E325AA" w:rsidRPr="00AA1E8B" w:rsidRDefault="00E325AA" w:rsidP="007839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1655BD" w14:textId="7FEC1537" w:rsidR="00A23FA4" w:rsidRPr="00AA1E8B" w:rsidRDefault="00440261" w:rsidP="007839F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E8B">
        <w:rPr>
          <w:rFonts w:ascii="Times New Roman" w:hAnsi="Times New Roman" w:cs="Times New Roman"/>
          <w:b/>
          <w:sz w:val="24"/>
          <w:szCs w:val="24"/>
          <w:lang w:val="ru-RU"/>
        </w:rPr>
        <w:t>ОБЪЕМ РАБОТЫ</w:t>
      </w:r>
    </w:p>
    <w:p w14:paraId="0378B04D" w14:textId="376FD205" w:rsidR="00BD7AD4" w:rsidRPr="00AA1E8B" w:rsidRDefault="00BD7AD4" w:rsidP="007839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Эксперт по управлению знаниями и развитию навыков окажет поддержку/помощь ЦКФ по подготовке и реализации двух заданий (консультационных услуг), а именно:</w:t>
      </w:r>
    </w:p>
    <w:p w14:paraId="3826843F" w14:textId="757B8791" w:rsidR="00BD7AD4" w:rsidRPr="00AA1E8B" w:rsidRDefault="00BD7AD4" w:rsidP="00902985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Подготовка техническ</w:t>
      </w:r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задани</w:t>
      </w:r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для отбора </w:t>
      </w:r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>(1) одной м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еждународной </w:t>
      </w:r>
      <w:r w:rsidR="00FF570A" w:rsidRPr="00AA1E8B">
        <w:rPr>
          <w:rFonts w:ascii="Times New Roman" w:hAnsi="Times New Roman" w:cs="Times New Roman"/>
          <w:sz w:val="24"/>
          <w:szCs w:val="24"/>
          <w:lang w:val="ru-RU"/>
        </w:rPr>
        <w:t>и (2) одной местной</w:t>
      </w:r>
      <w:r w:rsidR="00FF570A"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>консультационной компании по разработке и внедрению программы повышения квалификации;</w:t>
      </w:r>
    </w:p>
    <w:p w14:paraId="18BAAEE9" w14:textId="25EE9639" w:rsidR="00BD7AD4" w:rsidRPr="00AA1E8B" w:rsidRDefault="00BD7AD4" w:rsidP="00902985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Оказание поддержки ЦКФ в проведении техническ</w:t>
      </w:r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оцен</w:t>
      </w:r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поступивших предложений (методология, подход, график работ, план работ и т.д.)</w:t>
      </w:r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по вышеуказанным закупкам</w:t>
      </w:r>
      <w:r w:rsidRPr="00AA1E8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B8A8BE" w14:textId="0BB55572" w:rsidR="00BD7AD4" w:rsidRPr="00AA1E8B" w:rsidRDefault="00BD7AD4" w:rsidP="00902985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Оказание поддержки ЦКФ во время </w:t>
      </w:r>
      <w:proofErr w:type="spellStart"/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>предконтрактных</w:t>
      </w:r>
      <w:proofErr w:type="spellEnd"/>
      <w:r w:rsidR="00886AD6"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переговоров по вышеуказанным закупкам;</w:t>
      </w:r>
    </w:p>
    <w:p w14:paraId="09748466" w14:textId="3AAF120B" w:rsidR="00886AD6" w:rsidRPr="00AA1E8B" w:rsidRDefault="00886AD6" w:rsidP="00902985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Оказание поддержки ЦКФ во время реализации контрактов (осуществление мониторинга исполнения контракта, как авторский надзор).</w:t>
      </w:r>
    </w:p>
    <w:p w14:paraId="577A6EE1" w14:textId="77777777" w:rsidR="00886AD6" w:rsidRPr="00AA1E8B" w:rsidRDefault="00886AD6" w:rsidP="00886AD6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A3A772" w14:textId="0415E00D" w:rsidR="00886AD6" w:rsidRPr="00AA1E8B" w:rsidRDefault="00886AD6" w:rsidP="00886AD6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ОЖИДАЕМЫЕ РЕЗУЛЬТАТЫ</w:t>
      </w:r>
    </w:p>
    <w:p w14:paraId="18835999" w14:textId="342D4C14" w:rsidR="00886AD6" w:rsidRPr="00AA1E8B" w:rsidRDefault="00ED52C6" w:rsidP="00886AD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Результатами оказанных услуг (с соблюдением требований Раздела III настоящего техзадания) должно быть следующее: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528"/>
        <w:gridCol w:w="3407"/>
      </w:tblGrid>
      <w:tr w:rsidR="00ED52C6" w:rsidRPr="00AA1E8B" w14:paraId="572B6A41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4282A2" w14:textId="77777777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9A5538" w14:textId="77777777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C4336A" w14:textId="77777777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Установленный срок </w:t>
            </w:r>
          </w:p>
        </w:tc>
      </w:tr>
      <w:tr w:rsidR="00ED52C6" w:rsidRPr="00AA1E8B" w14:paraId="25036666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982644" w14:textId="77777777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0D2B2" w14:textId="77777777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задание для отбора Международной консультационной компании по разработке и внедрению программы повышения квалификации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9FE842" w14:textId="77777777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1 месяца с даты подписания контракта </w:t>
            </w:r>
          </w:p>
        </w:tc>
      </w:tr>
      <w:tr w:rsidR="00ED52C6" w:rsidRPr="00AA1E8B" w14:paraId="48FC22D5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C1F10" w14:textId="77777777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071A4" w14:textId="326E16FA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задание для отбора Местной компании по </w:t>
            </w:r>
            <w:r w:rsidR="00FF570A"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48FB2" w14:textId="0BED0D3D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 месяцев с даты подписания контракта</w:t>
            </w:r>
          </w:p>
        </w:tc>
      </w:tr>
      <w:tr w:rsidR="00ED52C6" w:rsidRPr="00AA1E8B" w14:paraId="40EB0342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8CF5C" w14:textId="12E8CD53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7B0B9" w14:textId="6CD3369A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оказанной поддержке ЦКФ в проведении технической оценки поступивших предложений в рамках отбора Международной консультационной компании по разработке и внедрению программы повышения квалификации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37ACD" w14:textId="5BE4731E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 недель с даты получения документов для технической оценки</w:t>
            </w:r>
          </w:p>
        </w:tc>
      </w:tr>
      <w:tr w:rsidR="00ED52C6" w:rsidRPr="00AA1E8B" w14:paraId="72930B7F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DD427" w14:textId="0E2CE912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0C19F" w14:textId="3BF4ABB4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по оказанной поддержке ЦКФ в проведении технической оценки поступивших предложений в рамках отбора Местной компании по </w:t>
            </w:r>
            <w:r w:rsidR="00FF570A"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0C85B" w14:textId="0BC2AD2F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 недель с даты получения документов для технической оценки</w:t>
            </w:r>
          </w:p>
        </w:tc>
      </w:tr>
      <w:tr w:rsidR="00ED52C6" w:rsidRPr="00AA1E8B" w14:paraId="4F308871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963D8" w14:textId="13EF2833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8208D" w14:textId="6487E9A9" w:rsidR="00ED52C6" w:rsidRPr="00AA1E8B" w:rsidRDefault="00ED52C6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отчет по оказанной поддержке ЦКФ во время реализации контракта</w:t>
            </w:r>
            <w:r w:rsidR="00A72AB7"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Международной </w:t>
            </w:r>
            <w:r w:rsidR="00A72AB7"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консультационной компанией по разработке и внедрению программы повышения квалификации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574DA" w14:textId="3B4A4633" w:rsidR="00ED52C6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2 месяцев с даты начала реализации контракта со </w:t>
            </w: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стороны консультационной компании</w:t>
            </w:r>
          </w:p>
        </w:tc>
      </w:tr>
      <w:tr w:rsidR="00A72AB7" w:rsidRPr="00AA1E8B" w14:paraId="3653BA2F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1B52E" w14:textId="6863DCE3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06EB1" w14:textId="4F0405EB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отчет по оказанной поддержке ЦКФ во время реализации контракта Международной консультационной компанией по разработке и внедрению программы повышения квалификации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352FE" w14:textId="3E4B7AA4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6 месяцев с даты начала реализации контракта со стороны консультационной компании</w:t>
            </w:r>
          </w:p>
        </w:tc>
      </w:tr>
      <w:tr w:rsidR="00A72AB7" w:rsidRPr="00AA1E8B" w14:paraId="0EAFAAD2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30328" w14:textId="2341895F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D0F70" w14:textId="28B917A8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отчет по оказанной поддержке ЦКФ во время реализации контракта Местной компанией по </w:t>
            </w:r>
            <w:r w:rsidR="00FF570A"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629D5" w14:textId="118FB369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 месяцев с даты начала реализации контракта со стороны консультационной компании</w:t>
            </w:r>
          </w:p>
        </w:tc>
      </w:tr>
      <w:tr w:rsidR="00A72AB7" w:rsidRPr="00AA1E8B" w14:paraId="0A37ACD3" w14:textId="77777777" w:rsidTr="00ED52C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DBD77" w14:textId="14EDBEFF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A38AE" w14:textId="645043C5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отчет по оказанной поддержке ЦКФ во время реализации контракта Местной компанией по </w:t>
            </w:r>
            <w:r w:rsidR="00FF570A"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D1265" w14:textId="03F99B22" w:rsidR="00A72AB7" w:rsidRPr="00AA1E8B" w:rsidRDefault="00A72AB7" w:rsidP="00E63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6 месяцев с даты начала реализации контракта со стороны консультационной компании</w:t>
            </w:r>
          </w:p>
        </w:tc>
      </w:tr>
    </w:tbl>
    <w:p w14:paraId="1CFA9BC1" w14:textId="77777777" w:rsidR="00886AD6" w:rsidRPr="00AA1E8B" w:rsidRDefault="00886AD6" w:rsidP="00886AD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B30AD8" w14:textId="364005E8" w:rsidR="00561FE0" w:rsidRPr="00AA1E8B" w:rsidRDefault="00561FE0" w:rsidP="00A92E35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b/>
          <w:sz w:val="24"/>
          <w:szCs w:val="24"/>
          <w:lang w:val="ru-RU"/>
        </w:rPr>
        <w:t>ОТЧЕТНОСТЬ</w:t>
      </w:r>
    </w:p>
    <w:p w14:paraId="226C0845" w14:textId="7578A2D5" w:rsidR="00561FE0" w:rsidRPr="00AA1E8B" w:rsidRDefault="00A72AB7" w:rsidP="00561F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Консультант должен подготовить и представить соответствующие Отчеты и документы Заказчику с учетом требований, указанных в разделах III и IV настоящего техзадания.</w:t>
      </w:r>
    </w:p>
    <w:p w14:paraId="62885443" w14:textId="3FB47754" w:rsidR="00A72AB7" w:rsidRPr="00AA1E8B" w:rsidRDefault="00A72AB7" w:rsidP="00561F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В случае несогласия Заказчика или уполномоченного лица с результатами отчетов/услуг, консультант должен будет в течение 5 рабочих дней устранить имеющиеся замечания.</w:t>
      </w:r>
    </w:p>
    <w:p w14:paraId="1D02775E" w14:textId="2B16765B" w:rsidR="00A72AB7" w:rsidRPr="00AA1E8B" w:rsidRDefault="00280FC3" w:rsidP="00561F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Консультант отчитывается перед директор</w:t>
      </w:r>
      <w:r w:rsidR="002478C2" w:rsidRPr="00AA1E8B">
        <w:rPr>
          <w:rFonts w:ascii="Times New Roman" w:hAnsi="Times New Roman" w:cs="Times New Roman"/>
          <w:sz w:val="24"/>
          <w:szCs w:val="24"/>
          <w:lang w:val="ru-RU"/>
        </w:rPr>
        <w:t>ом ЦКФ.</w:t>
      </w:r>
    </w:p>
    <w:p w14:paraId="25025749" w14:textId="77777777" w:rsidR="00CE0917" w:rsidRPr="00AA1E8B" w:rsidRDefault="00CE0917" w:rsidP="00CE09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A1E8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Консультант будет нести ответственность за оплату своей страховки и налогов.</w:t>
      </w:r>
    </w:p>
    <w:p w14:paraId="474B8318" w14:textId="77777777" w:rsidR="002478C2" w:rsidRPr="00AA1E8B" w:rsidRDefault="002478C2" w:rsidP="002478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Подготавливаемые Консультантом документы должны быть представлены Заказчику в бумажном в 2 (двух) экземплярах и электронном виде.</w:t>
      </w:r>
    </w:p>
    <w:p w14:paraId="521A27B7" w14:textId="36F0FA93" w:rsidR="002478C2" w:rsidRPr="00AA1E8B" w:rsidRDefault="002478C2" w:rsidP="002478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При подготовке документов используется шрифт: Times New </w:t>
      </w:r>
      <w:proofErr w:type="spellStart"/>
      <w:r w:rsidRPr="00AA1E8B">
        <w:rPr>
          <w:rFonts w:ascii="Times New Roman" w:hAnsi="Times New Roman" w:cs="Times New Roman"/>
          <w:sz w:val="24"/>
          <w:szCs w:val="24"/>
          <w:lang w:val="ru-RU"/>
        </w:rPr>
        <w:t>Roman</w:t>
      </w:r>
      <w:proofErr w:type="spellEnd"/>
      <w:r w:rsidRPr="00AA1E8B">
        <w:rPr>
          <w:rFonts w:ascii="Times New Roman" w:hAnsi="Times New Roman" w:cs="Times New Roman"/>
          <w:sz w:val="24"/>
          <w:szCs w:val="24"/>
          <w:lang w:val="ru-RU"/>
        </w:rPr>
        <w:t xml:space="preserve"> - 12, с интервалом 1,0.</w:t>
      </w:r>
    </w:p>
    <w:p w14:paraId="13F85759" w14:textId="03CD7492" w:rsidR="002478C2" w:rsidRPr="00AA1E8B" w:rsidRDefault="002478C2" w:rsidP="002478C2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b/>
          <w:sz w:val="24"/>
          <w:szCs w:val="24"/>
          <w:lang w:val="ru-RU"/>
        </w:rPr>
        <w:t>ГРАФИК</w:t>
      </w:r>
      <w:r w:rsidRPr="00AA1E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ВЫПЛАТ</w:t>
      </w:r>
    </w:p>
    <w:tbl>
      <w:tblPr>
        <w:tblStyle w:val="af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701"/>
      </w:tblGrid>
      <w:tr w:rsidR="00CE4093" w:rsidRPr="00AA1E8B" w14:paraId="504A1E21" w14:textId="77777777" w:rsidTr="00CE4093">
        <w:tc>
          <w:tcPr>
            <w:tcW w:w="851" w:type="dxa"/>
          </w:tcPr>
          <w:p w14:paraId="1EE07F0A" w14:textId="77777777" w:rsidR="00CE4093" w:rsidRPr="00AA1E8B" w:rsidRDefault="00CE4093" w:rsidP="00CE4093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6804" w:type="dxa"/>
          </w:tcPr>
          <w:p w14:paraId="25766193" w14:textId="77777777" w:rsidR="00CE4093" w:rsidRPr="00AA1E8B" w:rsidRDefault="00CE4093" w:rsidP="00CE4093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Результат/Отчетность</w:t>
            </w:r>
          </w:p>
        </w:tc>
        <w:tc>
          <w:tcPr>
            <w:tcW w:w="1701" w:type="dxa"/>
          </w:tcPr>
          <w:p w14:paraId="498A0E0E" w14:textId="77777777" w:rsidR="00CE4093" w:rsidRPr="00AA1E8B" w:rsidRDefault="00CE4093" w:rsidP="00E63634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Оплата/вес от суммы контракта</w:t>
            </w:r>
          </w:p>
        </w:tc>
      </w:tr>
      <w:tr w:rsidR="00CE4093" w:rsidRPr="00AA1E8B" w14:paraId="1EF54FC9" w14:textId="77777777" w:rsidTr="00CE4093">
        <w:trPr>
          <w:trHeight w:val="562"/>
        </w:trPr>
        <w:tc>
          <w:tcPr>
            <w:tcW w:w="851" w:type="dxa"/>
          </w:tcPr>
          <w:p w14:paraId="4672B92C" w14:textId="77777777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A1E8B">
              <w:rPr>
                <w:rFonts w:eastAsia="Calibri"/>
                <w:b/>
                <w:sz w:val="24"/>
                <w:szCs w:val="24"/>
              </w:rPr>
              <w:t xml:space="preserve">1-й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2A0D8861" w14:textId="27B5712D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Одобренное/согласованное заказчиком:</w:t>
            </w:r>
          </w:p>
          <w:p w14:paraId="20396243" w14:textId="0C97791A" w:rsidR="00CE4093" w:rsidRPr="00AA1E8B" w:rsidRDefault="00CE4093" w:rsidP="00CE4093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 xml:space="preserve">Техническое задание для отбора Международной консультационной компании по разработке и внедрению программы повышения квалификации </w:t>
            </w:r>
          </w:p>
        </w:tc>
        <w:tc>
          <w:tcPr>
            <w:tcW w:w="1701" w:type="dxa"/>
          </w:tcPr>
          <w:p w14:paraId="547B72F0" w14:textId="5508E9D0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>15</w:t>
            </w:r>
            <w:r w:rsidRPr="00AA1E8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CE4093" w:rsidRPr="00AA1E8B" w14:paraId="32B0CE14" w14:textId="77777777" w:rsidTr="00CE4093">
        <w:trPr>
          <w:trHeight w:val="562"/>
        </w:trPr>
        <w:tc>
          <w:tcPr>
            <w:tcW w:w="851" w:type="dxa"/>
          </w:tcPr>
          <w:p w14:paraId="5F612C5D" w14:textId="0E654046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  <w:r w:rsidRPr="00AA1E8B">
              <w:rPr>
                <w:rFonts w:eastAsia="Calibri"/>
                <w:b/>
                <w:sz w:val="24"/>
                <w:szCs w:val="24"/>
              </w:rPr>
              <w:t xml:space="preserve">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271819B4" w14:textId="77777777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Одобренное/согласованное заказчиком:</w:t>
            </w:r>
          </w:p>
          <w:p w14:paraId="2DEFE77E" w14:textId="0E8C65D3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AA1E8B">
              <w:rPr>
                <w:sz w:val="24"/>
                <w:szCs w:val="24"/>
                <w:lang w:val="ru-RU"/>
              </w:rPr>
              <w:t xml:space="preserve">Техническое задание для отбора Местной компании по </w:t>
            </w:r>
            <w:r w:rsidR="00FF570A" w:rsidRPr="00AA1E8B">
              <w:rPr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1701" w:type="dxa"/>
          </w:tcPr>
          <w:p w14:paraId="6790A257" w14:textId="7CA8E7B2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>15</w:t>
            </w:r>
            <w:r w:rsidRPr="00AA1E8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CE4093" w:rsidRPr="00AA1E8B" w14:paraId="1F7DDAB0" w14:textId="77777777" w:rsidTr="00CE4093">
        <w:trPr>
          <w:trHeight w:val="562"/>
        </w:trPr>
        <w:tc>
          <w:tcPr>
            <w:tcW w:w="851" w:type="dxa"/>
          </w:tcPr>
          <w:p w14:paraId="75929AAF" w14:textId="31A943E3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  <w:r w:rsidRPr="00AA1E8B">
              <w:rPr>
                <w:rFonts w:eastAsia="Calibri"/>
                <w:b/>
                <w:sz w:val="24"/>
                <w:szCs w:val="24"/>
              </w:rPr>
              <w:t xml:space="preserve">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7750C3A9" w14:textId="5371C450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Одобренный/согласованный заказчиком:</w:t>
            </w:r>
          </w:p>
          <w:p w14:paraId="144514C7" w14:textId="629EE47B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AA1E8B">
              <w:rPr>
                <w:sz w:val="24"/>
                <w:szCs w:val="24"/>
                <w:lang w:val="ru-RU"/>
              </w:rPr>
              <w:t>Отчет по оказанной поддержке ЦКФ в проведении технической оценки поступивших предложений в рамках отбора Международной консультационной компании по разработке и внедрению программы повышения квалификации</w:t>
            </w:r>
          </w:p>
        </w:tc>
        <w:tc>
          <w:tcPr>
            <w:tcW w:w="1701" w:type="dxa"/>
          </w:tcPr>
          <w:p w14:paraId="393ACAAB" w14:textId="0ACF5244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 xml:space="preserve">10 </w:t>
            </w:r>
            <w:r w:rsidRPr="00AA1E8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CE4093" w:rsidRPr="00AA1E8B" w14:paraId="2B19A6E5" w14:textId="77777777" w:rsidTr="00CE4093">
        <w:trPr>
          <w:trHeight w:val="562"/>
        </w:trPr>
        <w:tc>
          <w:tcPr>
            <w:tcW w:w="851" w:type="dxa"/>
          </w:tcPr>
          <w:p w14:paraId="12A68F44" w14:textId="5D3CB360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4</w:t>
            </w:r>
            <w:r w:rsidRPr="00AA1E8B">
              <w:rPr>
                <w:rFonts w:eastAsia="Calibri"/>
                <w:b/>
                <w:sz w:val="24"/>
                <w:szCs w:val="24"/>
              </w:rPr>
              <w:t xml:space="preserve">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67DBAB03" w14:textId="77777777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Одобренный/согласованный заказчиком:</w:t>
            </w:r>
          </w:p>
          <w:p w14:paraId="1AD2CE57" w14:textId="53A37FBF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AA1E8B">
              <w:rPr>
                <w:sz w:val="24"/>
                <w:szCs w:val="24"/>
                <w:lang w:val="ru-RU"/>
              </w:rPr>
              <w:t xml:space="preserve">Отчет по оказанной поддержке ЦКФ в проведении технической оценки поступивших предложений в рамках отбора Местной компании по </w:t>
            </w:r>
            <w:r w:rsidR="00FF570A" w:rsidRPr="00AA1E8B">
              <w:rPr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1701" w:type="dxa"/>
          </w:tcPr>
          <w:p w14:paraId="2442A0A5" w14:textId="6277CDA4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>10%</w:t>
            </w:r>
          </w:p>
        </w:tc>
      </w:tr>
      <w:tr w:rsidR="00CE4093" w:rsidRPr="00AA1E8B" w14:paraId="232C10D5" w14:textId="77777777" w:rsidTr="00CE4093">
        <w:trPr>
          <w:trHeight w:val="562"/>
        </w:trPr>
        <w:tc>
          <w:tcPr>
            <w:tcW w:w="851" w:type="dxa"/>
          </w:tcPr>
          <w:p w14:paraId="439C96F3" w14:textId="78A17EE2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5</w:t>
            </w:r>
            <w:r w:rsidRPr="00AA1E8B">
              <w:rPr>
                <w:rFonts w:eastAsia="Calibri"/>
                <w:b/>
                <w:sz w:val="24"/>
                <w:szCs w:val="24"/>
              </w:rPr>
              <w:t xml:space="preserve">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7C871824" w14:textId="77777777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Одобренный/согласованный заказчиком:</w:t>
            </w:r>
          </w:p>
          <w:p w14:paraId="6957B6E0" w14:textId="713C71EC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AA1E8B">
              <w:rPr>
                <w:sz w:val="24"/>
                <w:szCs w:val="24"/>
                <w:lang w:val="ru-RU"/>
              </w:rPr>
              <w:t>Первый отчет по оказанной поддержке ЦКФ во время реализации контракта Международной консультационной компанией по разработке и внедрению программы повышения квалификации</w:t>
            </w:r>
          </w:p>
        </w:tc>
        <w:tc>
          <w:tcPr>
            <w:tcW w:w="1701" w:type="dxa"/>
          </w:tcPr>
          <w:p w14:paraId="650F9DF8" w14:textId="1A382A2B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>10%</w:t>
            </w:r>
          </w:p>
        </w:tc>
      </w:tr>
      <w:tr w:rsidR="00CE4093" w:rsidRPr="00AA1E8B" w14:paraId="6261371B" w14:textId="77777777" w:rsidTr="00CE4093">
        <w:trPr>
          <w:trHeight w:val="562"/>
        </w:trPr>
        <w:tc>
          <w:tcPr>
            <w:tcW w:w="851" w:type="dxa"/>
          </w:tcPr>
          <w:p w14:paraId="58DAF561" w14:textId="0097273F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6</w:t>
            </w:r>
            <w:r w:rsidRPr="00AA1E8B">
              <w:rPr>
                <w:rFonts w:eastAsia="Calibri"/>
                <w:b/>
                <w:sz w:val="24"/>
                <w:szCs w:val="24"/>
              </w:rPr>
              <w:t xml:space="preserve">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01E5F102" w14:textId="77777777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Одобренный/согласованный заказчиком:</w:t>
            </w:r>
          </w:p>
          <w:p w14:paraId="63047F20" w14:textId="65B61736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AA1E8B">
              <w:rPr>
                <w:sz w:val="24"/>
                <w:szCs w:val="24"/>
                <w:lang w:val="ru-RU"/>
              </w:rPr>
              <w:t>Второй отчет по оказанной поддержке ЦКФ во время реализации контракта Международной консультационной компанией по разработке и внедрению программы повышения квалификации</w:t>
            </w:r>
          </w:p>
        </w:tc>
        <w:tc>
          <w:tcPr>
            <w:tcW w:w="1701" w:type="dxa"/>
          </w:tcPr>
          <w:p w14:paraId="3E8DD640" w14:textId="0C2A04CA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>10%</w:t>
            </w:r>
          </w:p>
        </w:tc>
      </w:tr>
      <w:tr w:rsidR="00CE4093" w:rsidRPr="00AA1E8B" w14:paraId="1FA5D54D" w14:textId="77777777" w:rsidTr="00CE4093">
        <w:trPr>
          <w:trHeight w:val="562"/>
        </w:trPr>
        <w:tc>
          <w:tcPr>
            <w:tcW w:w="851" w:type="dxa"/>
          </w:tcPr>
          <w:p w14:paraId="6B4973D3" w14:textId="3927B562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7</w:t>
            </w:r>
            <w:r w:rsidRPr="00AA1E8B">
              <w:rPr>
                <w:rFonts w:eastAsia="Calibri"/>
                <w:b/>
                <w:sz w:val="24"/>
                <w:szCs w:val="24"/>
              </w:rPr>
              <w:t xml:space="preserve">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184C8B0F" w14:textId="77777777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Одобренный/согласованный заказчиком:</w:t>
            </w:r>
          </w:p>
          <w:p w14:paraId="7BED4E19" w14:textId="42B9C92E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AA1E8B">
              <w:rPr>
                <w:sz w:val="24"/>
                <w:szCs w:val="24"/>
                <w:lang w:val="ru-RU"/>
              </w:rPr>
              <w:t xml:space="preserve">Первый отчет по оказанной поддержке ЦКФ во время реализации контракта Местной компанией по </w:t>
            </w:r>
            <w:r w:rsidR="00FF570A" w:rsidRPr="00AA1E8B">
              <w:rPr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1701" w:type="dxa"/>
          </w:tcPr>
          <w:p w14:paraId="59DA1D60" w14:textId="329F7A4C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>15%</w:t>
            </w:r>
          </w:p>
        </w:tc>
      </w:tr>
      <w:tr w:rsidR="00CE4093" w:rsidRPr="00AA1E8B" w14:paraId="6A809BC4" w14:textId="77777777" w:rsidTr="00CE4093">
        <w:trPr>
          <w:trHeight w:val="562"/>
        </w:trPr>
        <w:tc>
          <w:tcPr>
            <w:tcW w:w="851" w:type="dxa"/>
          </w:tcPr>
          <w:p w14:paraId="19B3EED5" w14:textId="7001972A" w:rsidR="00CE4093" w:rsidRPr="00AA1E8B" w:rsidRDefault="00CE4093" w:rsidP="00CE4093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8</w:t>
            </w:r>
            <w:r w:rsidRPr="00AA1E8B">
              <w:rPr>
                <w:rFonts w:eastAsia="Calibri"/>
                <w:b/>
                <w:sz w:val="24"/>
                <w:szCs w:val="24"/>
              </w:rPr>
              <w:t xml:space="preserve">-й </w:t>
            </w:r>
            <w:r w:rsidRPr="00AA1E8B">
              <w:rPr>
                <w:rFonts w:eastAsia="Calibri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6804" w:type="dxa"/>
          </w:tcPr>
          <w:p w14:paraId="4CDB1161" w14:textId="77777777" w:rsidR="00CE4093" w:rsidRPr="00AA1E8B" w:rsidRDefault="00CE4093" w:rsidP="00CE4093">
            <w:pPr>
              <w:jc w:val="both"/>
              <w:rPr>
                <w:sz w:val="24"/>
                <w:szCs w:val="24"/>
                <w:lang w:val="ru-RU"/>
              </w:rPr>
            </w:pPr>
            <w:r w:rsidRPr="00AA1E8B">
              <w:rPr>
                <w:sz w:val="24"/>
                <w:szCs w:val="24"/>
                <w:lang w:val="ru-RU"/>
              </w:rPr>
              <w:t>Одобренный/согласованный заказчиком:</w:t>
            </w:r>
          </w:p>
          <w:p w14:paraId="26DE2557" w14:textId="65E51173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AA1E8B">
              <w:rPr>
                <w:sz w:val="24"/>
                <w:szCs w:val="24"/>
                <w:lang w:val="ru-RU"/>
              </w:rPr>
              <w:t xml:space="preserve">Второй отчет по оказанной поддержке ЦКФ во время реализации контракта Местной компанией по </w:t>
            </w:r>
            <w:r w:rsidR="00FF570A" w:rsidRPr="00AA1E8B">
              <w:rPr>
                <w:sz w:val="24"/>
                <w:szCs w:val="24"/>
                <w:lang w:val="ru-RU"/>
              </w:rPr>
              <w:t>разработке и внедрению программы повышения квалификации</w:t>
            </w:r>
          </w:p>
        </w:tc>
        <w:tc>
          <w:tcPr>
            <w:tcW w:w="1701" w:type="dxa"/>
          </w:tcPr>
          <w:p w14:paraId="334B4AC8" w14:textId="0C715567" w:rsidR="00CE4093" w:rsidRPr="00AA1E8B" w:rsidRDefault="00CE4093" w:rsidP="00CE40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A1E8B">
              <w:rPr>
                <w:rFonts w:eastAsia="Calibri"/>
                <w:sz w:val="24"/>
                <w:szCs w:val="24"/>
                <w:lang w:val="ru-RU"/>
              </w:rPr>
              <w:t>15%</w:t>
            </w:r>
          </w:p>
        </w:tc>
      </w:tr>
    </w:tbl>
    <w:p w14:paraId="53B3A3E3" w14:textId="77777777" w:rsidR="002478C2" w:rsidRPr="00AA1E8B" w:rsidRDefault="002478C2" w:rsidP="002478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EBE460" w14:textId="53657B18" w:rsidR="00CE4093" w:rsidRPr="00AA1E8B" w:rsidRDefault="00CE4093" w:rsidP="00CE409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E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ВКЛАД</w:t>
      </w:r>
      <w:r w:rsidRPr="00AA1E8B">
        <w:rPr>
          <w:rFonts w:ascii="Times New Roman" w:eastAsia="Calibri" w:hAnsi="Times New Roman" w:cs="Times New Roman"/>
          <w:b/>
          <w:sz w:val="24"/>
          <w:szCs w:val="24"/>
        </w:rPr>
        <w:t xml:space="preserve"> ЗАКАЗЧИКА </w:t>
      </w:r>
    </w:p>
    <w:p w14:paraId="3AA52F6F" w14:textId="77777777" w:rsidR="00CE4093" w:rsidRPr="00AA1E8B" w:rsidRDefault="00CE4093" w:rsidP="00CE40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E8B">
        <w:rPr>
          <w:rFonts w:ascii="Times New Roman" w:eastAsia="Calibri" w:hAnsi="Times New Roman" w:cs="Times New Roman"/>
          <w:sz w:val="24"/>
          <w:szCs w:val="24"/>
        </w:rPr>
        <w:t>Заказчик</w:t>
      </w:r>
      <w:proofErr w:type="spellEnd"/>
      <w:r w:rsidRPr="00AA1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1E8B">
        <w:rPr>
          <w:rFonts w:ascii="Times New Roman" w:eastAsia="Calibri" w:hAnsi="Times New Roman" w:cs="Times New Roman"/>
          <w:sz w:val="24"/>
          <w:szCs w:val="24"/>
        </w:rPr>
        <w:t>предоставит</w:t>
      </w:r>
      <w:proofErr w:type="spellEnd"/>
      <w:r w:rsidRPr="00AA1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1E8B">
        <w:rPr>
          <w:rFonts w:ascii="Times New Roman" w:eastAsia="Calibri" w:hAnsi="Times New Roman" w:cs="Times New Roman"/>
          <w:sz w:val="24"/>
          <w:szCs w:val="24"/>
        </w:rPr>
        <w:t>Консультанту</w:t>
      </w:r>
      <w:proofErr w:type="spellEnd"/>
      <w:r w:rsidRPr="00AA1E8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E199933" w14:textId="77777777" w:rsidR="00CE4093" w:rsidRPr="00AA1E8B" w:rsidRDefault="00CE4093" w:rsidP="00CE40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E8B">
        <w:rPr>
          <w:rFonts w:ascii="Times New Roman" w:eastAsia="Calibri" w:hAnsi="Times New Roman" w:cs="Times New Roman"/>
          <w:sz w:val="24"/>
          <w:szCs w:val="24"/>
          <w:lang w:val="ru-RU"/>
        </w:rPr>
        <w:t>1) информацию о целях, задачах и ожидаемых результатах проекта, а также информационные материалы по проекту;</w:t>
      </w:r>
    </w:p>
    <w:p w14:paraId="67173E99" w14:textId="77777777" w:rsidR="00CE4093" w:rsidRPr="00AA1E8B" w:rsidRDefault="00CE4093" w:rsidP="00CE40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E8B">
        <w:rPr>
          <w:rFonts w:ascii="Times New Roman" w:eastAsia="Calibri" w:hAnsi="Times New Roman" w:cs="Times New Roman"/>
          <w:sz w:val="24"/>
          <w:szCs w:val="24"/>
          <w:lang w:val="ru-RU"/>
        </w:rPr>
        <w:t>2) в пределах своих полномочий, может оказать содействие в предоставлении информационных и статистических данных;</w:t>
      </w:r>
    </w:p>
    <w:p w14:paraId="01C96434" w14:textId="0BF2AED8" w:rsidR="00CE4093" w:rsidRPr="00AA1E8B" w:rsidRDefault="00CE4093" w:rsidP="00CE40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E8B">
        <w:rPr>
          <w:rFonts w:ascii="Times New Roman" w:eastAsia="Calibri" w:hAnsi="Times New Roman" w:cs="Times New Roman"/>
          <w:sz w:val="24"/>
          <w:szCs w:val="24"/>
          <w:lang w:val="ru-RU"/>
        </w:rPr>
        <w:t>3) окажет содействие в привлечении/участии сотрудников ЦКФ в проводимых совещаниях/рабочих встречах, необходимых для выполнения задания</w:t>
      </w:r>
    </w:p>
    <w:p w14:paraId="2615D298" w14:textId="77777777" w:rsidR="00CE4093" w:rsidRPr="00AA1E8B" w:rsidRDefault="00CE4093" w:rsidP="00CE40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E3CD170" w14:textId="34F8C9EC" w:rsidR="00CE4093" w:rsidRPr="00AA1E8B" w:rsidRDefault="00CE0917" w:rsidP="00CE0917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1E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СРОКИ</w:t>
      </w:r>
    </w:p>
    <w:p w14:paraId="6E3B735A" w14:textId="60BEE749" w:rsidR="00CE4093" w:rsidRPr="00AA1E8B" w:rsidRDefault="00CE4093" w:rsidP="00CE4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Контракт с фиксированной ценой, выплаты на основе согласованных результатов. </w:t>
      </w:r>
      <w:r w:rsidRPr="00AA1E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Предполагаемая продолжительность услуг, предусмотренных данным техзаданием, составляет </w:t>
      </w:r>
      <w:r w:rsidRPr="00AA1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FF570A" w:rsidRPr="00AA1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AA1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FF570A" w:rsidRPr="00AA1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двенадцат</w:t>
      </w:r>
      <w:r w:rsidRPr="00AA1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ь) месяцев с момента подписания контракта. </w:t>
      </w:r>
    </w:p>
    <w:p w14:paraId="79C53057" w14:textId="77777777" w:rsidR="00CE4093" w:rsidRPr="00AA1E8B" w:rsidRDefault="00CE4093" w:rsidP="00CE40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A3FD246" w14:textId="77777777" w:rsidR="00E85A40" w:rsidRPr="00AA1E8B" w:rsidRDefault="00E85A40" w:rsidP="007839FD">
      <w:pPr>
        <w:pStyle w:val="a3"/>
        <w:numPr>
          <w:ilvl w:val="0"/>
          <w:numId w:val="1"/>
        </w:numPr>
        <w:tabs>
          <w:tab w:val="left" w:pos="990"/>
        </w:tabs>
        <w:spacing w:after="120" w:line="240" w:lineRule="auto"/>
        <w:ind w:left="810" w:hanging="81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КВАЛИФИКАЦИОННЫЕ ТРЕБОВАНИЯ </w:t>
      </w:r>
    </w:p>
    <w:p w14:paraId="40E809C8" w14:textId="2304FD8B" w:rsidR="00A92E35" w:rsidRPr="00AA1E8B" w:rsidRDefault="00A92E35" w:rsidP="00A92E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Высшее образование в области экономики / закупок и логистики, международного бизнеса, управления бизнесом, юриспруденции или смежных дисциплин является обязательным;</w:t>
      </w:r>
    </w:p>
    <w:p w14:paraId="75F5FA94" w14:textId="77777777" w:rsidR="00CE0917" w:rsidRPr="00AA1E8B" w:rsidRDefault="00CE0917" w:rsidP="00A92E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Не менее 5-летний соответствующий опыт работы в аналогичных проектах с участием МФИ.</w:t>
      </w:r>
    </w:p>
    <w:p w14:paraId="5F72483C" w14:textId="15652B0F" w:rsidR="00CE0917" w:rsidRPr="00AA1E8B" w:rsidRDefault="00CE0917" w:rsidP="00A92E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Не менее 5-летний опыт работы и навыки, связанные с выполняемыми задачами (составление технических заданий, руководство командой местных и международных экспертов);</w:t>
      </w:r>
    </w:p>
    <w:p w14:paraId="75CE3D48" w14:textId="77777777" w:rsidR="00A92E35" w:rsidRPr="00AA1E8B" w:rsidRDefault="00A92E35" w:rsidP="00A92E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Знания и опыт работы с системой государственных закупок и с порталом государственных закупок будет являться преимуществом;</w:t>
      </w:r>
    </w:p>
    <w:p w14:paraId="0411DEAF" w14:textId="27742427" w:rsidR="00A92E35" w:rsidRPr="00AA1E8B" w:rsidRDefault="00A92E35" w:rsidP="00A92E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Хорошее владение кыргызским, русским и английским языками является обязательным требованием;</w:t>
      </w:r>
    </w:p>
    <w:p w14:paraId="5F94E49D" w14:textId="4B9729AA" w:rsidR="00021367" w:rsidRPr="00AA1E8B" w:rsidRDefault="00A92E35" w:rsidP="00A92E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E8B">
        <w:rPr>
          <w:rFonts w:ascii="Times New Roman" w:hAnsi="Times New Roman" w:cs="Times New Roman"/>
          <w:sz w:val="24"/>
          <w:szCs w:val="24"/>
          <w:lang w:val="ru-RU"/>
        </w:rPr>
        <w:t>Знание приложений Microsoft Office (Word, Excel, PowerPoint) является обязательным.</w:t>
      </w:r>
    </w:p>
    <w:sectPr w:rsidR="00021367" w:rsidRPr="00AA1E8B" w:rsidSect="00A964B5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77A5" w14:textId="77777777" w:rsidR="004C46AE" w:rsidRDefault="004C46AE" w:rsidP="00CD28C8">
      <w:pPr>
        <w:spacing w:after="0" w:line="240" w:lineRule="auto"/>
      </w:pPr>
      <w:r>
        <w:separator/>
      </w:r>
    </w:p>
  </w:endnote>
  <w:endnote w:type="continuationSeparator" w:id="0">
    <w:p w14:paraId="4A448439" w14:textId="77777777" w:rsidR="004C46AE" w:rsidRDefault="004C46AE" w:rsidP="00CD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E1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860E" w14:textId="77777777" w:rsidR="004C46AE" w:rsidRDefault="004C46AE" w:rsidP="00CD28C8">
      <w:pPr>
        <w:spacing w:after="0" w:line="240" w:lineRule="auto"/>
      </w:pPr>
      <w:r>
        <w:separator/>
      </w:r>
    </w:p>
  </w:footnote>
  <w:footnote w:type="continuationSeparator" w:id="0">
    <w:p w14:paraId="73132D4A" w14:textId="77777777" w:rsidR="004C46AE" w:rsidRDefault="004C46AE" w:rsidP="00CD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DF7"/>
    <w:multiLevelType w:val="hybridMultilevel"/>
    <w:tmpl w:val="55A6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880"/>
    <w:multiLevelType w:val="multilevel"/>
    <w:tmpl w:val="B7722AA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23129"/>
    <w:multiLevelType w:val="hybridMultilevel"/>
    <w:tmpl w:val="3AB488DA"/>
    <w:lvl w:ilvl="0" w:tplc="1A56C0EE">
      <w:start w:val="3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1A56C0EE">
      <w:start w:val="3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color w:val="000000" w:themeColor="text1"/>
      </w:rPr>
    </w:lvl>
    <w:lvl w:ilvl="2" w:tplc="9D7C0B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E53B1"/>
    <w:multiLevelType w:val="hybridMultilevel"/>
    <w:tmpl w:val="C44C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43E1E"/>
    <w:multiLevelType w:val="hybridMultilevel"/>
    <w:tmpl w:val="8FC2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1A59"/>
    <w:multiLevelType w:val="hybridMultilevel"/>
    <w:tmpl w:val="3094E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7B40"/>
    <w:multiLevelType w:val="hybridMultilevel"/>
    <w:tmpl w:val="0FE4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0258F"/>
    <w:multiLevelType w:val="hybridMultilevel"/>
    <w:tmpl w:val="A7226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26477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390A"/>
    <w:multiLevelType w:val="hybridMultilevel"/>
    <w:tmpl w:val="FBC0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3023E"/>
    <w:multiLevelType w:val="hybridMultilevel"/>
    <w:tmpl w:val="1A02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3337"/>
    <w:multiLevelType w:val="hybridMultilevel"/>
    <w:tmpl w:val="21889EBC"/>
    <w:lvl w:ilvl="0" w:tplc="1A56C0EE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62B20"/>
    <w:multiLevelType w:val="hybridMultilevel"/>
    <w:tmpl w:val="6EEA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6671E"/>
    <w:multiLevelType w:val="hybridMultilevel"/>
    <w:tmpl w:val="0FE4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E60FF"/>
    <w:multiLevelType w:val="hybridMultilevel"/>
    <w:tmpl w:val="C7BE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B3F9F"/>
    <w:multiLevelType w:val="hybridMultilevel"/>
    <w:tmpl w:val="724C5B6E"/>
    <w:lvl w:ilvl="0" w:tplc="20D6167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F6516"/>
    <w:multiLevelType w:val="hybridMultilevel"/>
    <w:tmpl w:val="BF18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50AC5"/>
    <w:multiLevelType w:val="multilevel"/>
    <w:tmpl w:val="64823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1340017">
    <w:abstractNumId w:val="1"/>
  </w:num>
  <w:num w:numId="2" w16cid:durableId="1365595821">
    <w:abstractNumId w:val="16"/>
  </w:num>
  <w:num w:numId="3" w16cid:durableId="1514883380">
    <w:abstractNumId w:val="0"/>
  </w:num>
  <w:num w:numId="4" w16cid:durableId="1968580112">
    <w:abstractNumId w:val="6"/>
  </w:num>
  <w:num w:numId="5" w16cid:durableId="1227644352">
    <w:abstractNumId w:val="2"/>
  </w:num>
  <w:num w:numId="6" w16cid:durableId="1655524556">
    <w:abstractNumId w:val="10"/>
  </w:num>
  <w:num w:numId="7" w16cid:durableId="1468932100">
    <w:abstractNumId w:val="15"/>
  </w:num>
  <w:num w:numId="8" w16cid:durableId="821700121">
    <w:abstractNumId w:val="11"/>
  </w:num>
  <w:num w:numId="9" w16cid:durableId="1243178347">
    <w:abstractNumId w:val="13"/>
  </w:num>
  <w:num w:numId="10" w16cid:durableId="1577743987">
    <w:abstractNumId w:val="12"/>
  </w:num>
  <w:num w:numId="11" w16cid:durableId="1450776822">
    <w:abstractNumId w:val="8"/>
  </w:num>
  <w:num w:numId="12" w16cid:durableId="112600354">
    <w:abstractNumId w:val="9"/>
  </w:num>
  <w:num w:numId="13" w16cid:durableId="214612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69966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1119575">
    <w:abstractNumId w:val="10"/>
  </w:num>
  <w:num w:numId="16" w16cid:durableId="669601600">
    <w:abstractNumId w:val="4"/>
  </w:num>
  <w:num w:numId="17" w16cid:durableId="594292467">
    <w:abstractNumId w:val="7"/>
  </w:num>
  <w:num w:numId="18" w16cid:durableId="2098402490">
    <w:abstractNumId w:val="14"/>
  </w:num>
  <w:num w:numId="19" w16cid:durableId="1358123513">
    <w:abstractNumId w:val="3"/>
  </w:num>
  <w:num w:numId="20" w16cid:durableId="814565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MjQ0NDe3MDQzszRW0lEKTi0uzszPAykwqQUABkUkuCwAAAA="/>
  </w:docVars>
  <w:rsids>
    <w:rsidRoot w:val="005323F2"/>
    <w:rsid w:val="00021367"/>
    <w:rsid w:val="00054F33"/>
    <w:rsid w:val="00083C95"/>
    <w:rsid w:val="00096832"/>
    <w:rsid w:val="000A39F6"/>
    <w:rsid w:val="000C7E8F"/>
    <w:rsid w:val="000F5FB3"/>
    <w:rsid w:val="0012040E"/>
    <w:rsid w:val="00123BB7"/>
    <w:rsid w:val="00140868"/>
    <w:rsid w:val="00143AA5"/>
    <w:rsid w:val="00150CB1"/>
    <w:rsid w:val="00180BE3"/>
    <w:rsid w:val="00180C40"/>
    <w:rsid w:val="001D51E3"/>
    <w:rsid w:val="001E0DEA"/>
    <w:rsid w:val="00213EE3"/>
    <w:rsid w:val="0022479D"/>
    <w:rsid w:val="0022512D"/>
    <w:rsid w:val="002478C2"/>
    <w:rsid w:val="002534C7"/>
    <w:rsid w:val="00255411"/>
    <w:rsid w:val="00263F80"/>
    <w:rsid w:val="002660C6"/>
    <w:rsid w:val="0026766F"/>
    <w:rsid w:val="0027630B"/>
    <w:rsid w:val="00280FC3"/>
    <w:rsid w:val="002A20C8"/>
    <w:rsid w:val="002C1749"/>
    <w:rsid w:val="002C331A"/>
    <w:rsid w:val="002C4BF7"/>
    <w:rsid w:val="002D4180"/>
    <w:rsid w:val="00311DD6"/>
    <w:rsid w:val="0031203B"/>
    <w:rsid w:val="00314AF9"/>
    <w:rsid w:val="00340770"/>
    <w:rsid w:val="00347876"/>
    <w:rsid w:val="00356764"/>
    <w:rsid w:val="003604A1"/>
    <w:rsid w:val="003E311C"/>
    <w:rsid w:val="00405878"/>
    <w:rsid w:val="004201F8"/>
    <w:rsid w:val="00440261"/>
    <w:rsid w:val="00454678"/>
    <w:rsid w:val="004570EF"/>
    <w:rsid w:val="004578A0"/>
    <w:rsid w:val="004721FF"/>
    <w:rsid w:val="00487F8E"/>
    <w:rsid w:val="004C46AE"/>
    <w:rsid w:val="004F0B20"/>
    <w:rsid w:val="004F60AF"/>
    <w:rsid w:val="005323F2"/>
    <w:rsid w:val="005442BE"/>
    <w:rsid w:val="00544DFC"/>
    <w:rsid w:val="00560FFE"/>
    <w:rsid w:val="00561FE0"/>
    <w:rsid w:val="00577160"/>
    <w:rsid w:val="00584CE2"/>
    <w:rsid w:val="00586B1B"/>
    <w:rsid w:val="00595F62"/>
    <w:rsid w:val="005B6629"/>
    <w:rsid w:val="005C72FC"/>
    <w:rsid w:val="005E1DF9"/>
    <w:rsid w:val="005E4205"/>
    <w:rsid w:val="005E79E8"/>
    <w:rsid w:val="00617810"/>
    <w:rsid w:val="0062193B"/>
    <w:rsid w:val="0062273D"/>
    <w:rsid w:val="006477EC"/>
    <w:rsid w:val="006578B6"/>
    <w:rsid w:val="00660B64"/>
    <w:rsid w:val="00671019"/>
    <w:rsid w:val="00677500"/>
    <w:rsid w:val="006826A3"/>
    <w:rsid w:val="0068713F"/>
    <w:rsid w:val="006B7EFC"/>
    <w:rsid w:val="006C00FC"/>
    <w:rsid w:val="006C39A5"/>
    <w:rsid w:val="006E4E40"/>
    <w:rsid w:val="006E7CEC"/>
    <w:rsid w:val="006F30AA"/>
    <w:rsid w:val="007164F2"/>
    <w:rsid w:val="0072748B"/>
    <w:rsid w:val="00731091"/>
    <w:rsid w:val="00733937"/>
    <w:rsid w:val="00736F0C"/>
    <w:rsid w:val="007839FD"/>
    <w:rsid w:val="007924AE"/>
    <w:rsid w:val="007925FE"/>
    <w:rsid w:val="00794A0A"/>
    <w:rsid w:val="007B1BE7"/>
    <w:rsid w:val="007C72F6"/>
    <w:rsid w:val="007D03E4"/>
    <w:rsid w:val="007D2CD4"/>
    <w:rsid w:val="007D788C"/>
    <w:rsid w:val="007D7990"/>
    <w:rsid w:val="00810362"/>
    <w:rsid w:val="00814732"/>
    <w:rsid w:val="00820A37"/>
    <w:rsid w:val="00825A34"/>
    <w:rsid w:val="00847E3E"/>
    <w:rsid w:val="008514B6"/>
    <w:rsid w:val="00851DA7"/>
    <w:rsid w:val="00886AD6"/>
    <w:rsid w:val="00887FD4"/>
    <w:rsid w:val="00890B77"/>
    <w:rsid w:val="008B4D24"/>
    <w:rsid w:val="008E2848"/>
    <w:rsid w:val="008E4363"/>
    <w:rsid w:val="00902985"/>
    <w:rsid w:val="00963B9D"/>
    <w:rsid w:val="00977982"/>
    <w:rsid w:val="009917EC"/>
    <w:rsid w:val="00991B6B"/>
    <w:rsid w:val="009C20DF"/>
    <w:rsid w:val="009C5194"/>
    <w:rsid w:val="00A038BC"/>
    <w:rsid w:val="00A23FA4"/>
    <w:rsid w:val="00A26E44"/>
    <w:rsid w:val="00A5076D"/>
    <w:rsid w:val="00A5271E"/>
    <w:rsid w:val="00A71411"/>
    <w:rsid w:val="00A720C1"/>
    <w:rsid w:val="00A72AB7"/>
    <w:rsid w:val="00A72BA8"/>
    <w:rsid w:val="00A74A67"/>
    <w:rsid w:val="00A92E35"/>
    <w:rsid w:val="00A964B5"/>
    <w:rsid w:val="00AA1E8B"/>
    <w:rsid w:val="00AD011F"/>
    <w:rsid w:val="00AD4D23"/>
    <w:rsid w:val="00AE5721"/>
    <w:rsid w:val="00AF2BEB"/>
    <w:rsid w:val="00B04D7A"/>
    <w:rsid w:val="00B05095"/>
    <w:rsid w:val="00B05612"/>
    <w:rsid w:val="00B06F6C"/>
    <w:rsid w:val="00B155E8"/>
    <w:rsid w:val="00B20F83"/>
    <w:rsid w:val="00B216B2"/>
    <w:rsid w:val="00B26C12"/>
    <w:rsid w:val="00B43CC3"/>
    <w:rsid w:val="00B46938"/>
    <w:rsid w:val="00B703BF"/>
    <w:rsid w:val="00B87B40"/>
    <w:rsid w:val="00BC037F"/>
    <w:rsid w:val="00BD7AD4"/>
    <w:rsid w:val="00BE1B23"/>
    <w:rsid w:val="00BF4153"/>
    <w:rsid w:val="00C41F53"/>
    <w:rsid w:val="00C64CF6"/>
    <w:rsid w:val="00C6715C"/>
    <w:rsid w:val="00C85CD7"/>
    <w:rsid w:val="00C90FC3"/>
    <w:rsid w:val="00CA1586"/>
    <w:rsid w:val="00CA3EB0"/>
    <w:rsid w:val="00CA648F"/>
    <w:rsid w:val="00CD28C8"/>
    <w:rsid w:val="00CD51E1"/>
    <w:rsid w:val="00CE0917"/>
    <w:rsid w:val="00CE19E5"/>
    <w:rsid w:val="00CE4093"/>
    <w:rsid w:val="00D0546B"/>
    <w:rsid w:val="00D171CD"/>
    <w:rsid w:val="00D31B12"/>
    <w:rsid w:val="00D40E3F"/>
    <w:rsid w:val="00D90D18"/>
    <w:rsid w:val="00DA0BC8"/>
    <w:rsid w:val="00DE1058"/>
    <w:rsid w:val="00DE347C"/>
    <w:rsid w:val="00E20A74"/>
    <w:rsid w:val="00E23C6F"/>
    <w:rsid w:val="00E31B59"/>
    <w:rsid w:val="00E325AA"/>
    <w:rsid w:val="00E72B79"/>
    <w:rsid w:val="00E77675"/>
    <w:rsid w:val="00E81CA3"/>
    <w:rsid w:val="00E83A76"/>
    <w:rsid w:val="00E85A40"/>
    <w:rsid w:val="00EB2369"/>
    <w:rsid w:val="00EB39E3"/>
    <w:rsid w:val="00EC08E7"/>
    <w:rsid w:val="00EC1E24"/>
    <w:rsid w:val="00EC2BBC"/>
    <w:rsid w:val="00ED52C6"/>
    <w:rsid w:val="00EE14C4"/>
    <w:rsid w:val="00F1332A"/>
    <w:rsid w:val="00F54D4A"/>
    <w:rsid w:val="00F57335"/>
    <w:rsid w:val="00F63575"/>
    <w:rsid w:val="00F72873"/>
    <w:rsid w:val="00FD66B3"/>
    <w:rsid w:val="00FE6584"/>
    <w:rsid w:val="00FE71AA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53A8"/>
  <w15:chartTrackingRefBased/>
  <w15:docId w15:val="{F4C4ECB4-B1D3-40DF-B3A1-86E9E793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3F2"/>
    <w:rPr>
      <w:lang w:val="en-GB"/>
    </w:rPr>
  </w:style>
  <w:style w:type="paragraph" w:styleId="1">
    <w:name w:val="heading 1"/>
    <w:aliases w:val="Para Number"/>
    <w:basedOn w:val="a"/>
    <w:next w:val="a"/>
    <w:link w:val="10"/>
    <w:qFormat/>
    <w:rsid w:val="00021367"/>
    <w:pPr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,References,List Paragraph (numbered (a)),List_Paragraph,Multilevel para_II,Akapit z listą BS,Indent Paragraph,Bullet OFM,Bullet EY,Sàraðo pastraipa,S?ra?o pastraipa,Bullet1,Bullets,MC Paragraphe Liste,List Bullet-OpsManual,Normal "/>
    <w:basedOn w:val="a"/>
    <w:link w:val="a4"/>
    <w:uiPriority w:val="34"/>
    <w:qFormat/>
    <w:rsid w:val="005323F2"/>
    <w:pPr>
      <w:ind w:left="720"/>
      <w:contextualSpacing/>
    </w:pPr>
  </w:style>
  <w:style w:type="character" w:customStyle="1" w:styleId="a4">
    <w:name w:val="Абзац списка Знак"/>
    <w:aliases w:val="List para Знак,References Знак,List Paragraph (numbered (a)) Знак,List_Paragraph Знак,Multilevel para_II Знак,Akapit z listą BS Знак,Indent Paragraph Знак,Bullet OFM Знак,Bullet EY Знак,Sàraðo pastraipa Знак,S?ra?o pastraipa Знак"/>
    <w:link w:val="a3"/>
    <w:uiPriority w:val="34"/>
    <w:rsid w:val="005323F2"/>
    <w:rPr>
      <w:lang w:val="en-GB"/>
    </w:rPr>
  </w:style>
  <w:style w:type="paragraph" w:styleId="a5">
    <w:name w:val="Body Text"/>
    <w:basedOn w:val="a"/>
    <w:link w:val="a6"/>
    <w:rsid w:val="001E0DEA"/>
    <w:pPr>
      <w:tabs>
        <w:tab w:val="left" w:pos="567"/>
      </w:tabs>
      <w:spacing w:after="0" w:line="140" w:lineRule="atLeast"/>
      <w:jc w:val="both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a6">
    <w:name w:val="Основной текст Знак"/>
    <w:basedOn w:val="a0"/>
    <w:link w:val="a5"/>
    <w:rsid w:val="001E0DEA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paragraph" w:styleId="a7">
    <w:name w:val="header"/>
    <w:basedOn w:val="a"/>
    <w:link w:val="a8"/>
    <w:uiPriority w:val="99"/>
    <w:unhideWhenUsed/>
    <w:rsid w:val="00C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28C8"/>
    <w:rPr>
      <w:lang w:val="en-GB"/>
    </w:rPr>
  </w:style>
  <w:style w:type="paragraph" w:styleId="a9">
    <w:name w:val="footer"/>
    <w:basedOn w:val="a"/>
    <w:link w:val="aa"/>
    <w:uiPriority w:val="99"/>
    <w:unhideWhenUsed/>
    <w:rsid w:val="00C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28C8"/>
    <w:rPr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6E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4E40"/>
    <w:rPr>
      <w:rFonts w:ascii="Segoe UI" w:hAnsi="Segoe UI" w:cs="Segoe UI"/>
      <w:sz w:val="18"/>
      <w:szCs w:val="18"/>
      <w:lang w:val="en-GB"/>
    </w:rPr>
  </w:style>
  <w:style w:type="paragraph" w:customStyle="1" w:styleId="Normal1">
    <w:name w:val="Normal1"/>
    <w:rsid w:val="00B7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Indent">
    <w:name w:val="Section Indent"/>
    <w:basedOn w:val="a"/>
    <w:rsid w:val="00B703B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aliases w:val="Para Number Знак"/>
    <w:basedOn w:val="a0"/>
    <w:link w:val="1"/>
    <w:rsid w:val="00021367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character" w:styleId="ad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N"/>
    <w:uiPriority w:val="99"/>
    <w:rsid w:val="00021367"/>
    <w:rPr>
      <w:position w:val="6"/>
      <w:sz w:val="16"/>
    </w:rPr>
  </w:style>
  <w:style w:type="paragraph" w:styleId="ae">
    <w:name w:val="footnote text"/>
    <w:aliases w:val="Nbpage Moens,ALTS FOOTNOTE,single space Char,footnote text Char,Fußnote,Podrozdział,Fuίnotentextf,single space,FOOTNOTES,fn,stile 1,Footnote,Footnote1,Footnote2,Footnote3,Footnote4,Footnote5,Footnote6,Footnote7,Footnote8,-,Car"/>
    <w:basedOn w:val="a"/>
    <w:link w:val="af"/>
    <w:uiPriority w:val="99"/>
    <w:qFormat/>
    <w:rsid w:val="00021367"/>
    <w:pPr>
      <w:keepLines/>
      <w:spacing w:after="0" w:line="240" w:lineRule="auto"/>
      <w:ind w:left="567" w:hanging="567"/>
      <w:jc w:val="both"/>
    </w:pPr>
    <w:rPr>
      <w:rFonts w:ascii="CG Times (E1)" w:eastAsia="Times New Roman" w:hAnsi="CG Times (E1)" w:cs="Times New Roman"/>
      <w:sz w:val="20"/>
      <w:szCs w:val="20"/>
      <w:lang w:eastAsia="en-GB"/>
    </w:rPr>
  </w:style>
  <w:style w:type="character" w:customStyle="1" w:styleId="af">
    <w:name w:val="Текст сноски Знак"/>
    <w:aliases w:val="Nbpage Moens Знак,ALTS FOOTNOTE Знак,single space Char Знак,footnote text Char Знак,Fußnote Знак,Podrozdział Знак,Fuίnotentextf Знак,single space Знак,FOOTNOTES Знак,fn Знак,stile 1 Знак,Footnote Знак,Footnote1 Знак,Footnote2 Знак"/>
    <w:basedOn w:val="a0"/>
    <w:link w:val="ae"/>
    <w:uiPriority w:val="99"/>
    <w:rsid w:val="00021367"/>
    <w:rPr>
      <w:rFonts w:ascii="CG Times (E1)" w:eastAsia="Times New Roman" w:hAnsi="CG Times (E1)" w:cs="Times New Roman"/>
      <w:sz w:val="20"/>
      <w:szCs w:val="20"/>
      <w:lang w:val="en-GB" w:eastAsia="en-GB"/>
    </w:rPr>
  </w:style>
  <w:style w:type="character" w:styleId="af0">
    <w:name w:val="Hyperlink"/>
    <w:uiPriority w:val="99"/>
    <w:rsid w:val="00021367"/>
    <w:rPr>
      <w:color w:val="0000FF"/>
      <w:u w:val="single"/>
    </w:rPr>
  </w:style>
  <w:style w:type="table" w:styleId="af1">
    <w:name w:val="Table Grid"/>
    <w:aliases w:val="MTBS Table Grid"/>
    <w:basedOn w:val="a1"/>
    <w:uiPriority w:val="39"/>
    <w:rsid w:val="00021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f2">
    <w:name w:val="Revision"/>
    <w:hidden/>
    <w:uiPriority w:val="99"/>
    <w:semiHidden/>
    <w:rsid w:val="00347876"/>
    <w:pPr>
      <w:spacing w:after="0" w:line="240" w:lineRule="auto"/>
    </w:pPr>
    <w:rPr>
      <w:lang w:val="en-GB"/>
    </w:rPr>
  </w:style>
  <w:style w:type="character" w:styleId="af3">
    <w:name w:val="annotation reference"/>
    <w:basedOn w:val="a0"/>
    <w:uiPriority w:val="99"/>
    <w:semiHidden/>
    <w:unhideWhenUsed/>
    <w:rsid w:val="00BE1B2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E1B2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E1B23"/>
    <w:rPr>
      <w:sz w:val="20"/>
      <w:szCs w:val="20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E1B2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E1B2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9c87da95-7b2f-439f-bfd9-321fc51f6870" value=""/>
  <element uid="214105f6-acd4-485a-afa0-a0b988f7534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58D3-F6D6-437D-A354-28CF371094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66BC20-19C3-4167-9192-4CE0C72E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Arstan Muktarov</dc:creator>
  <cp:keywords>[EBRD/NON-BANK USE]</cp:keywords>
  <dc:description/>
  <cp:lastModifiedBy>Dastan Abdyldaev</cp:lastModifiedBy>
  <cp:revision>4</cp:revision>
  <cp:lastPrinted>2020-09-16T07:30:00Z</cp:lastPrinted>
  <dcterms:created xsi:type="dcterms:W3CDTF">2025-05-20T10:53:00Z</dcterms:created>
  <dcterms:modified xsi:type="dcterms:W3CDTF">2025-05-20T12:16:00Z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93181288-643a-4eb8-88fa-bee32ef47e6d</vt:lpwstr>
  </property>
  <property fmtid="{D5CDD505-2E9C-101B-9397-08002B2CF9AE}" pid="3" name="bjSaver">
    <vt:lpwstr>klSnQikEsvMBK35hYW4hVR5lRcN5esoz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uid="9c87da95-7b2f-439f-bfd9-321fc51f6870" value="" /&gt;&lt;element uid="214105f6-acd4-485a-afa0-a0b988f7534c" value="" /&gt;&lt;/sisl&gt;</vt:lpwstr>
  </property>
  <property fmtid="{D5CDD505-2E9C-101B-9397-08002B2CF9AE}" pid="6" name="bjDocumentSecurityLabel">
    <vt:lpwstr>NON-BANK USE</vt:lpwstr>
  </property>
</Properties>
</file>