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483"/>
        </w:tabs>
        <w:spacing w:before="240" w:after="24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ТЕХНИЧЕСКОЕ ЗАДАНИЕ НА УСЛУГИ </w:t>
      </w:r>
    </w:p>
    <w:p w14:paraId="00000002">
      <w:pPr>
        <w:tabs>
          <w:tab w:val="left" w:pos="483"/>
        </w:tabs>
        <w:spacing w:before="240" w:after="240"/>
        <w:jc w:val="both"/>
        <w:rPr>
          <w:b/>
          <w:color w:val="000000"/>
          <w:lang w:val="ru-RU"/>
        </w:rPr>
      </w:pPr>
    </w:p>
    <w:p w14:paraId="00000003">
      <w:pPr>
        <w:tabs>
          <w:tab w:val="left" w:pos="483"/>
        </w:tabs>
        <w:spacing w:before="240" w:after="24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Контекст данного технического задания</w:t>
      </w:r>
    </w:p>
    <w:p w14:paraId="00000004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Общественное объединение </w:t>
      </w:r>
      <w:r>
        <w:rPr>
          <w:b/>
          <w:lang w:val="ru-RU"/>
        </w:rPr>
        <w:t>«Дестинация Джалал‑Абад»</w:t>
      </w:r>
      <w:r>
        <w:rPr>
          <w:lang w:val="ru-RU"/>
        </w:rPr>
        <w:t xml:space="preserve"> (</w:t>
      </w:r>
      <w:r>
        <w:t>DJA</w:t>
      </w:r>
      <w:r>
        <w:rPr>
          <w:lang w:val="ru-RU"/>
        </w:rPr>
        <w:t xml:space="preserve">) — некоммерческая организация, с 2020 года координирующая развитие туризма во всех районах Джалал‑Абадской области. Штаб‑квартира — г. Джалал‑Абад. </w:t>
      </w:r>
      <w:r>
        <w:t>DJA</w:t>
      </w:r>
      <w:r>
        <w:rPr>
          <w:lang w:val="ru-RU"/>
        </w:rPr>
        <w:t xml:space="preserve"> работает в тесном партнёрстве с местным бизнесом, органами самоуправления и профильными госструктурами.</w:t>
      </w:r>
    </w:p>
    <w:p w14:paraId="00000005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В 2024 году проект </w:t>
      </w:r>
      <w:r>
        <w:t>DJA</w:t>
      </w:r>
      <w:r>
        <w:rPr>
          <w:lang w:val="ru-RU"/>
        </w:rPr>
        <w:t xml:space="preserve"> </w:t>
      </w:r>
      <w:r>
        <w:rPr>
          <w:b/>
          <w:lang w:val="ru-RU"/>
        </w:rPr>
        <w:t>«Зелёный туризм в Джалал‑Абадской области: путь к устойчивому будущему»</w:t>
      </w:r>
      <w:r>
        <w:rPr>
          <w:lang w:val="ru-RU"/>
        </w:rPr>
        <w:t xml:space="preserve"> стал одним из победителей конкурса </w:t>
      </w:r>
      <w:r>
        <w:rPr>
          <w:b/>
          <w:lang w:val="ru-RU"/>
        </w:rPr>
        <w:t>Фонда зелёных инноваций (</w:t>
      </w:r>
      <w:r>
        <w:rPr>
          <w:b/>
        </w:rPr>
        <w:t>GIF</w:t>
      </w:r>
      <w:r>
        <w:rPr>
          <w:b/>
          <w:lang w:val="ru-RU"/>
        </w:rPr>
        <w:t>)</w:t>
      </w:r>
      <w:r>
        <w:rPr>
          <w:lang w:val="ru-RU"/>
        </w:rPr>
        <w:t xml:space="preserve"> программы </w:t>
      </w:r>
      <w:r>
        <w:rPr>
          <w:b/>
          <w:bCs/>
        </w:rPr>
        <w:t>GIZ</w:t>
      </w:r>
      <w:r>
        <w:rPr>
          <w:lang w:val="ru-RU"/>
        </w:rPr>
        <w:t> </w:t>
      </w:r>
      <w:r>
        <w:rPr>
          <w:b/>
        </w:rPr>
        <w:t>GESPSD</w:t>
      </w:r>
      <w:r>
        <w:rPr>
          <w:lang w:val="ru-RU"/>
        </w:rPr>
        <w:t xml:space="preserve"> («Зелёная экономика и устойчивое развитие частного сектора в Кыргызстане»), финансируемой </w:t>
      </w:r>
      <w:r>
        <w:t>BMZ</w:t>
      </w:r>
      <w:r>
        <w:rPr>
          <w:lang w:val="ru-RU"/>
        </w:rPr>
        <w:t>, Европейским союзом и Правительством Швейцарии.</w:t>
      </w:r>
    </w:p>
    <w:p w14:paraId="00000006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Проект предусматривает внедрение возобновляемых источников энергии — солнечной электростанции 2 кВт и мини‑ГЭС 3‑5 кВт — а также других зелёных технологий в четырёх туристических сёлах </w:t>
      </w:r>
      <w:r>
        <w:rPr>
          <w:b/>
          <w:lang w:val="ru-RU"/>
        </w:rPr>
        <w:t>Арстанбап, Кызыл‑Ункур, Падыш‑Ата и Сары‑Челек</w:t>
      </w:r>
      <w:r>
        <w:rPr>
          <w:lang w:val="ru-RU"/>
        </w:rPr>
        <w:t>. Одновременно планируется привлечь частные инвестиции через Региональный фонд развития Джалал‑Абадской области.</w:t>
      </w:r>
    </w:p>
    <w:p w14:paraId="00000007">
      <w:pPr>
        <w:spacing w:before="240" w:after="240"/>
        <w:jc w:val="both"/>
        <w:rPr>
          <w:color w:val="000000"/>
          <w:lang w:val="ru-RU"/>
        </w:rPr>
      </w:pPr>
      <w:r>
        <w:rPr>
          <w:lang w:val="ru-RU"/>
        </w:rPr>
        <w:t xml:space="preserve">Для технического и методического сопровождения этих мероприятий </w:t>
      </w:r>
      <w:r>
        <w:t>DJA</w:t>
      </w:r>
      <w:r>
        <w:rPr>
          <w:lang w:val="ru-RU"/>
        </w:rPr>
        <w:t xml:space="preserve"> привлекает </w:t>
      </w:r>
      <w:r>
        <w:rPr>
          <w:b/>
          <w:lang w:val="ru-RU"/>
        </w:rPr>
        <w:t>внешнего консультанта по внедрению зелёных технологий</w:t>
      </w:r>
      <w:r>
        <w:rPr>
          <w:lang w:val="ru-RU"/>
        </w:rPr>
        <w:t>.</w:t>
      </w:r>
    </w:p>
    <w:p w14:paraId="00000008">
      <w:pPr>
        <w:keepNext/>
        <w:spacing w:before="240" w:after="240"/>
        <w:rPr>
          <w:lang w:val="ru-RU"/>
        </w:rPr>
      </w:pPr>
      <w:bookmarkStart w:id="0" w:name="_heading=h.n9g2n7zcdeog" w:colFirst="0" w:colLast="0"/>
      <w:bookmarkEnd w:id="0"/>
      <w:r>
        <w:rPr>
          <w:rFonts w:eastAsia="Arial" w:cs="Arial"/>
          <w:b/>
          <w:color w:val="000000"/>
          <w:szCs w:val="22"/>
          <w:lang w:val="ru-RU"/>
        </w:rPr>
        <w:t>Таким образом, подрядчик должен  выполнить следующие задачи:</w:t>
      </w:r>
    </w:p>
    <w:p w14:paraId="00000009">
      <w:pPr>
        <w:numPr>
          <w:ilvl w:val="0"/>
          <w:numId w:val="1"/>
        </w:numPr>
        <w:spacing w:before="240"/>
        <w:rPr>
          <w:lang w:val="ru-RU"/>
        </w:rPr>
      </w:pPr>
      <w:r>
        <w:rPr>
          <w:b/>
          <w:lang w:val="ru-RU"/>
        </w:rPr>
        <w:t>Разработать и утвердить</w:t>
      </w:r>
      <w:sdt>
        <w:sdtPr>
          <w:tag w:val="goog_rdk_0"/>
          <w:id w:val="147452232"/>
        </w:sdtPr>
        <w:sdtContent>
          <w:r>
            <w:rPr>
              <w:rFonts w:ascii="Arial Unicode MS" w:hAnsi="Arial Unicode MS" w:eastAsia="Arial Unicode MS" w:cs="Arial Unicode MS"/>
              <w:lang w:val="ru-RU"/>
            </w:rPr>
            <w:t xml:space="preserve"> критерии отбора площадок (≤ 4 локаций) для демонстрационных ВИЭ‑установок.</w:t>
          </w:r>
        </w:sdtContent>
      </w:sdt>
    </w:p>
    <w:p w14:paraId="0000000A">
      <w:pPr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Подготовить тех‑решения, сметы и сопровождать</w:t>
      </w:r>
      <w:r>
        <w:rPr>
          <w:lang w:val="ru-RU"/>
        </w:rPr>
        <w:t xml:space="preserve"> закупку, монтаж и ввод в эксплуатацию:</w:t>
      </w:r>
      <w:r>
        <w:rPr>
          <w:lang w:val="ru-RU"/>
        </w:rPr>
        <w:br w:type="textWrapping"/>
      </w:r>
      <w:r>
        <w:rPr>
          <w:lang w:val="ru-RU"/>
        </w:rPr>
        <w:t xml:space="preserve">    • солнечная станция 2 кВт; • мини‑ГЭС 3 – 5 кВт.</w:t>
      </w:r>
    </w:p>
    <w:p w14:paraId="0000000B">
      <w:pPr>
        <w:numPr>
          <w:ilvl w:val="0"/>
          <w:numId w:val="1"/>
        </w:numPr>
        <w:rPr>
          <w:lang w:val="ru-RU"/>
        </w:rPr>
      </w:pPr>
      <w:r>
        <w:rPr>
          <w:b/>
          <w:lang w:val="ky-KG"/>
        </w:rPr>
        <w:t>Организовать</w:t>
      </w:r>
      <w:r>
        <w:rPr>
          <w:rFonts w:hint="default"/>
          <w:b/>
          <w:lang w:val="ky-KG"/>
        </w:rPr>
        <w:t xml:space="preserve"> </w:t>
      </w:r>
      <w:r>
        <w:rPr>
          <w:b/>
          <w:lang w:val="ru-RU"/>
        </w:rPr>
        <w:t>провести</w:t>
      </w:r>
      <w:r>
        <w:rPr>
          <w:lang w:val="ru-RU"/>
        </w:rPr>
        <w:t xml:space="preserve"> два практических тренинга для заинтересованных сторон:</w:t>
      </w:r>
      <w:r>
        <w:rPr>
          <w:lang w:val="ru-RU"/>
        </w:rPr>
        <w:br w:type="textWrapping"/>
      </w:r>
      <w:r>
        <w:rPr>
          <w:lang w:val="ru-RU"/>
        </w:rPr>
        <w:t xml:space="preserve">    </w:t>
      </w:r>
      <w:r>
        <w:t>a</w:t>
      </w:r>
      <w:r>
        <w:rPr>
          <w:lang w:val="ru-RU"/>
        </w:rPr>
        <w:t>) «Использование ВИЭ в туристической инфраструктуре»;</w:t>
      </w:r>
      <w:r>
        <w:rPr>
          <w:lang w:val="ru-RU"/>
        </w:rPr>
        <w:br w:type="textWrapping"/>
      </w:r>
      <w:r>
        <w:rPr>
          <w:lang w:val="ru-RU"/>
        </w:rPr>
        <w:t xml:space="preserve">    </w:t>
      </w:r>
      <w:r>
        <w:t>b</w:t>
      </w:r>
      <w:r>
        <w:rPr>
          <w:lang w:val="ru-RU"/>
        </w:rPr>
        <w:t>) «Энерго‑ и ресурсоэффективность зданий».</w:t>
      </w:r>
    </w:p>
    <w:p w14:paraId="0000000C">
      <w:pPr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Консультировать пилотные сообщества</w:t>
      </w:r>
      <w:sdt>
        <w:sdtPr>
          <w:tag w:val="goog_rdk_1"/>
          <w:id w:val="147460955"/>
        </w:sdtPr>
        <w:sdtContent>
          <w:r>
            <w:rPr>
              <w:rFonts w:ascii="Arial Unicode MS" w:hAnsi="Arial Unicode MS" w:eastAsia="Arial Unicode MS" w:cs="Arial Unicode MS"/>
              <w:lang w:val="ru-RU"/>
            </w:rPr>
            <w:t xml:space="preserve"> при подготовке и подаче </w:t>
          </w:r>
          <w:r>
            <w:rPr>
              <w:rFonts w:ascii="Arial Unicode MS" w:hAnsi="Arial Unicode MS" w:eastAsia="Arial Unicode MS" w:cs="Arial Unicode MS"/>
              <w:highlight w:val="none"/>
              <w:lang w:val="ru-RU"/>
            </w:rPr>
            <w:t>не менее  5 заявок</w:t>
          </w:r>
          <w:r>
            <w:rPr>
              <w:rFonts w:ascii="Arial Unicode MS" w:hAnsi="Arial Unicode MS" w:eastAsia="Arial Unicode MS" w:cs="Arial Unicode MS"/>
              <w:lang w:val="ru-RU"/>
            </w:rPr>
            <w:t xml:space="preserve"> на финансирование зелёных технологий в Региональный фонд.</w:t>
          </w:r>
        </w:sdtContent>
      </w:sdt>
    </w:p>
    <w:p w14:paraId="0000000D">
      <w:pPr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Организовать демонстрационную поездку</w:t>
      </w:r>
      <w:sdt>
        <w:sdtPr>
          <w:tag w:val="goog_rdk_2"/>
          <w:id w:val="147476543"/>
        </w:sdtPr>
        <w:sdtContent>
          <w:r>
            <w:rPr>
              <w:rFonts w:ascii="Arial Unicode MS" w:hAnsi="Arial Unicode MS" w:eastAsia="Arial Unicode MS" w:cs="Arial Unicode MS"/>
              <w:lang w:val="ru-RU"/>
            </w:rPr>
            <w:t xml:space="preserve"> на новые ВИЭ‑объекты (как минимум 20 участников: гостевые дома, юрточные лагеря, гиды, ОМСУ, туроператоры, лесхоз, вузы).</w:t>
          </w:r>
        </w:sdtContent>
      </w:sdt>
    </w:p>
    <w:p w14:paraId="0000000E">
      <w:pPr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Содействовать проведению заседания</w:t>
      </w:r>
      <w:r>
        <w:rPr>
          <w:lang w:val="ru-RU"/>
        </w:rPr>
        <w:t xml:space="preserve"> областного Координационного совета по туризму (</w:t>
      </w:r>
      <w:r>
        <w:t>TCC</w:t>
      </w:r>
      <w:r>
        <w:rPr>
          <w:lang w:val="ru-RU"/>
        </w:rPr>
        <w:t>) и представить результаты проекта.</w:t>
      </w:r>
    </w:p>
    <w:p w14:paraId="0000000F">
      <w:pPr>
        <w:numPr>
          <w:ilvl w:val="0"/>
          <w:numId w:val="1"/>
        </w:numPr>
        <w:spacing w:after="240"/>
        <w:rPr>
          <w:lang w:val="ru-RU"/>
        </w:rPr>
      </w:pPr>
      <w:r>
        <w:rPr>
          <w:b/>
          <w:lang w:val="ru-RU"/>
        </w:rPr>
        <w:t>Подготовить и сдать</w:t>
      </w:r>
      <w:r>
        <w:rPr>
          <w:lang w:val="ru-RU"/>
        </w:rPr>
        <w:t xml:space="preserve"> полный итоговый отчёт с исходными материалами: чертежи, сметы, учебные программы, фото‑ и медиа‑контент.</w:t>
      </w:r>
    </w:p>
    <w:p w14:paraId="00000010">
      <w:pPr>
        <w:jc w:val="both"/>
        <w:rPr>
          <w:lang w:val="ru-RU"/>
        </w:rPr>
      </w:pPr>
    </w:p>
    <w:p w14:paraId="00000011">
      <w:pPr>
        <w:jc w:val="both"/>
        <w:rPr>
          <w:lang w:val="ru-RU"/>
        </w:rPr>
      </w:pPr>
      <w:r>
        <w:rPr>
          <w:lang w:val="ru-RU"/>
        </w:rPr>
        <w:t>Для достижения вышеуказанных задач предполагается провести следующие мероприятия в рамках данного технического задания:</w:t>
      </w:r>
    </w:p>
    <w:p w14:paraId="00000012">
      <w:pPr>
        <w:jc w:val="both"/>
        <w:rPr>
          <w:lang w:val="ru-RU"/>
        </w:rPr>
      </w:pPr>
    </w:p>
    <w:p w14:paraId="00000013">
      <w:pPr>
        <w:jc w:val="both"/>
        <w:rPr>
          <w:lang w:val="ru-RU"/>
        </w:rPr>
      </w:pPr>
    </w:p>
    <w:tbl>
      <w:tblPr>
        <w:tblStyle w:val="61"/>
        <w:tblW w:w="906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4"/>
        <w:gridCol w:w="3197"/>
        <w:gridCol w:w="3651"/>
        <w:gridCol w:w="1777"/>
      </w:tblGrid>
      <w:tr w14:paraId="49ABC8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>
            <w:pPr>
              <w:jc w:val="center"/>
              <w:rPr>
                <w:b/>
              </w:rPr>
            </w:pPr>
            <w:r>
              <w:rPr>
                <w:b/>
              </w:rPr>
              <w:t>Конкретный продукт (deliverable)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>
            <w:pPr>
              <w:jc w:val="center"/>
              <w:rPr>
                <w:b/>
              </w:rPr>
            </w:pPr>
            <w:r>
              <w:rPr>
                <w:b/>
              </w:rPr>
              <w:t>Кто принимает</w:t>
            </w:r>
          </w:p>
        </w:tc>
      </w:tr>
      <w:tr w14:paraId="210C6A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40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>
            <w:pPr>
              <w:jc w:val="both"/>
            </w:pPr>
            <w:r>
              <w:t>1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>
            <w:pPr>
              <w:jc w:val="both"/>
            </w:pPr>
            <w:r>
              <w:t>Разработка ТЗ для тренеров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>
            <w:pPr>
              <w:rPr>
                <w:lang w:val="ru-RU"/>
              </w:rPr>
            </w:pPr>
            <w:sdt>
              <w:sdtPr>
                <w:tag w:val="goog_rdk_3"/>
                <w:id w:val="147474957"/>
              </w:sdtPr>
              <w:sdtContent>
                <w:r>
                  <w:rPr>
                    <w:rFonts w:ascii="Arial Unicode MS" w:hAnsi="Arial Unicode MS" w:eastAsia="Arial Unicode MS" w:cs="Arial Unicode MS"/>
                    <w:lang w:val="ru-RU"/>
                  </w:rPr>
                  <w:t xml:space="preserve">Два одобренных ТЗ: – «Тренинг по ВИЭ» – «Тренинг по энерго‑ и ресурсоэффективности зданий» </w:t>
                </w:r>
              </w:sdtContent>
            </w:sdt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>
            <w:pPr>
              <w:jc w:val="both"/>
              <w:rPr>
                <w:lang w:val="ru-RU"/>
              </w:rPr>
            </w:pPr>
            <w:r>
              <w:t>DJA </w:t>
            </w:r>
          </w:p>
        </w:tc>
      </w:tr>
      <w:tr w14:paraId="66A15C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>
            <w:pPr>
              <w:jc w:val="both"/>
            </w:pPr>
            <w:r>
              <w:t>2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>
            <w:pPr>
              <w:jc w:val="both"/>
            </w:pPr>
            <w:r>
              <w:rPr>
                <w:lang w:val="ky-KG"/>
              </w:rPr>
              <w:t>Подготовка</w:t>
            </w:r>
            <w:r>
              <w:t xml:space="preserve"> учебных программ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Программы двух тренингов (программа 1‑день, цели, методика, раздаточный материал, список </w:t>
            </w:r>
            <w:r>
              <w:rPr>
                <w:lang w:val="ky-KG"/>
              </w:rPr>
              <w:t>ресурсов</w:t>
            </w:r>
            <w:r>
              <w:rPr>
                <w:lang w:val="ru-RU"/>
              </w:rPr>
              <w:t>)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>
            <w:pPr>
              <w:jc w:val="both"/>
            </w:pPr>
            <w:r>
              <w:t>DJA</w:t>
            </w:r>
          </w:p>
        </w:tc>
      </w:tr>
      <w:tr w14:paraId="3369CC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>
            <w:pPr>
              <w:jc w:val="both"/>
            </w:pPr>
            <w:r>
              <w:t>3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ky-KG"/>
              </w:rPr>
              <w:t xml:space="preserve"> </w:t>
            </w:r>
            <w:r>
              <w:rPr>
                <w:lang w:val="ru-RU"/>
              </w:rPr>
              <w:t>проведени</w:t>
            </w:r>
            <w:r>
              <w:rPr>
                <w:lang w:val="ky-KG"/>
              </w:rPr>
              <w:t>я</w:t>
            </w:r>
            <w:r>
              <w:rPr>
                <w:lang w:val="ru-RU"/>
              </w:rPr>
              <w:t xml:space="preserve"> тренинга № 1 «Использование ВИЭ»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Фото‑отчёт, лист регистрации, </w:t>
            </w:r>
            <w:r>
              <w:t>pre</w:t>
            </w:r>
            <w:r>
              <w:rPr>
                <w:lang w:val="ru-RU"/>
              </w:rPr>
              <w:t>/</w:t>
            </w:r>
            <w:r>
              <w:t>post</w:t>
            </w:r>
            <w:r>
              <w:rPr>
                <w:lang w:val="ru-RU"/>
              </w:rPr>
              <w:t xml:space="preserve">‑тесты, </w:t>
            </w:r>
            <w:r>
              <w:rPr>
                <w:lang w:val="ky-KG"/>
              </w:rPr>
              <w:t>презентации</w:t>
            </w:r>
            <w:r>
              <w:rPr>
                <w:lang w:val="ru-RU"/>
              </w:rPr>
              <w:t xml:space="preserve"> тренера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>
            <w:pPr>
              <w:jc w:val="both"/>
              <w:rPr>
                <w:lang w:val="ru-RU"/>
              </w:rPr>
            </w:pPr>
            <w:r>
              <w:t>DJA</w:t>
            </w:r>
          </w:p>
        </w:tc>
      </w:tr>
      <w:tr w14:paraId="7397A0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40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>
            <w:pPr>
              <w:jc w:val="both"/>
            </w:pPr>
            <w:r>
              <w:t>4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проведени</w:t>
            </w:r>
            <w:r>
              <w:rPr>
                <w:lang w:val="ky-KG"/>
              </w:rPr>
              <w:t>я</w:t>
            </w:r>
            <w:r>
              <w:rPr>
                <w:lang w:val="ru-RU"/>
              </w:rPr>
              <w:t xml:space="preserve"> тренинга № 2 «Энерго‑ и ресурсоэффективность зданий»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Фото</w:t>
            </w:r>
            <w:r>
              <w:rPr>
                <w:rFonts w:ascii="Cambria Math" w:hAnsi="Cambria Math" w:cs="Cambria Math"/>
                <w:lang w:val="ru-RU"/>
              </w:rPr>
              <w:t>‑</w:t>
            </w:r>
            <w:r>
              <w:rPr>
                <w:rFonts w:cs="Arial"/>
                <w:lang w:val="ru-RU"/>
              </w:rPr>
              <w:t>отчёт</w:t>
            </w:r>
            <w:r>
              <w:rPr>
                <w:lang w:val="ru-RU"/>
              </w:rPr>
              <w:t xml:space="preserve">, </w:t>
            </w:r>
            <w:r>
              <w:rPr>
                <w:rFonts w:cs="Arial"/>
                <w:lang w:val="ru-RU"/>
              </w:rPr>
              <w:t>лист</w:t>
            </w:r>
            <w:r>
              <w:rPr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регистрации</w:t>
            </w:r>
            <w:r>
              <w:rPr>
                <w:lang w:val="ru-RU"/>
              </w:rPr>
              <w:t xml:space="preserve">, </w:t>
            </w:r>
            <w:r>
              <w:t>pre</w:t>
            </w:r>
            <w:r>
              <w:rPr>
                <w:lang w:val="ru-RU"/>
              </w:rPr>
              <w:t>/</w:t>
            </w:r>
            <w:r>
              <w:t>post</w:t>
            </w:r>
            <w:r>
              <w:rPr>
                <w:rFonts w:ascii="Cambria Math" w:hAnsi="Cambria Math" w:cs="Cambria Math"/>
                <w:lang w:val="ru-RU"/>
              </w:rPr>
              <w:t>‑</w:t>
            </w:r>
            <w:r>
              <w:rPr>
                <w:rFonts w:cs="Arial"/>
                <w:lang w:val="ru-RU"/>
              </w:rPr>
              <w:t>тесты</w:t>
            </w:r>
            <w:r>
              <w:rPr>
                <w:lang w:val="ru-RU"/>
              </w:rPr>
              <w:t xml:space="preserve">, </w:t>
            </w:r>
            <w:r>
              <w:rPr>
                <w:lang w:val="ky-KG"/>
              </w:rPr>
              <w:t>презентации</w:t>
            </w:r>
            <w:r>
              <w:rPr>
                <w:rFonts w:hint="default"/>
                <w:lang w:val="ky-KG"/>
              </w:rPr>
              <w:t xml:space="preserve"> </w:t>
            </w:r>
            <w:r>
              <w:rPr>
                <w:rFonts w:cs="Arial"/>
                <w:lang w:val="ru-RU"/>
              </w:rPr>
              <w:t>тренера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>
            <w:pPr>
              <w:jc w:val="both"/>
              <w:rPr>
                <w:lang w:val="ru-RU"/>
              </w:rPr>
            </w:pPr>
            <w:r>
              <w:t>DJA</w:t>
            </w:r>
          </w:p>
        </w:tc>
      </w:tr>
      <w:tr w14:paraId="39439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>
            <w:pPr>
              <w:jc w:val="both"/>
            </w:pPr>
            <w:r>
              <w:t>5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программы и логистики демонстрационной поездки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>
            <w:pPr>
              <w:jc w:val="both"/>
              <w:rPr>
                <w:rFonts w:hint="default"/>
                <w:lang w:val="ky-KG"/>
              </w:rPr>
            </w:pPr>
            <w:r>
              <w:rPr>
                <w:lang w:val="ru-RU"/>
              </w:rPr>
              <w:t xml:space="preserve">Программа тура (маршрут, тайминг, смета, список участников, </w:t>
            </w:r>
            <w:r>
              <w:rPr>
                <w:lang w:val="ky-KG"/>
              </w:rPr>
              <w:t>план</w:t>
            </w:r>
            <w:r>
              <w:rPr>
                <w:rFonts w:hint="default"/>
                <w:lang w:val="ky-KG"/>
              </w:rPr>
              <w:t xml:space="preserve"> освещения в СМИ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>
            <w:pPr>
              <w:jc w:val="both"/>
            </w:pPr>
            <w:r>
              <w:t>DJA</w:t>
            </w:r>
          </w:p>
        </w:tc>
      </w:tr>
      <w:tr w14:paraId="3F5737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>
            <w:pPr>
              <w:jc w:val="both"/>
            </w:pPr>
            <w:r>
              <w:t>6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>
            <w:pPr>
              <w:jc w:val="both"/>
            </w:pPr>
            <w:r>
              <w:t>Проведение демонстрационной поездки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>
            <w:pPr>
              <w:jc w:val="both"/>
              <w:rPr>
                <w:lang w:val="ru-RU"/>
              </w:rPr>
            </w:pPr>
            <w:sdt>
              <w:sdtPr>
                <w:tag w:val="goog_rdk_4"/>
                <w:id w:val="147471809"/>
              </w:sdtPr>
              <w:sdtContent>
                <w:r>
                  <w:rPr>
                    <w:rFonts w:ascii="Arial Unicode MS" w:hAnsi="Arial Unicode MS" w:eastAsia="Arial Unicode MS" w:cs="Arial Unicode MS"/>
                    <w:lang w:val="ru-RU"/>
                  </w:rPr>
                  <w:t>Фото‑отчёт, протокол обратной связи</w:t>
                </w:r>
                <w:r>
                  <w:rPr>
                    <w:rFonts w:hint="default" w:ascii="Arial Unicode MS" w:hAnsi="Arial Unicode MS" w:eastAsia="Arial Unicode MS" w:cs="Arial Unicode MS"/>
                    <w:lang w:val="ky-KG"/>
                  </w:rPr>
                  <w:t>, отчет СМИ</w:t>
                </w:r>
              </w:sdtContent>
            </w:sdt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>
            <w:pPr>
              <w:jc w:val="both"/>
            </w:pPr>
            <w:r>
              <w:t>DJA + гостевые дома</w:t>
            </w:r>
          </w:p>
        </w:tc>
      </w:tr>
      <w:tr w14:paraId="0B6208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>
            <w:pPr>
              <w:jc w:val="both"/>
            </w:pPr>
            <w:r>
              <w:t>7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Сопровождение подачи заявок в</w:t>
            </w:r>
            <w:r>
              <w:rPr>
                <w:rFonts w:hint="default"/>
                <w:lang w:val="ky-KG"/>
              </w:rPr>
              <w:t xml:space="preserve"> </w:t>
            </w:r>
            <w:r>
              <w:rPr>
                <w:lang w:val="ru-RU"/>
              </w:rPr>
              <w:t> Региональный фонд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>
            <w:pPr>
              <w:jc w:val="both"/>
              <w:rPr>
                <w:lang w:val="ky-KG"/>
              </w:rPr>
            </w:pPr>
            <w:r>
              <w:t>Не менее 5 </w:t>
            </w:r>
            <w:r>
              <w:rPr>
                <w:lang w:val="ky-KG"/>
              </w:rPr>
              <w:t>заявок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>
            <w:pPr>
              <w:jc w:val="both"/>
            </w:pPr>
            <w:r>
              <w:t>DJA</w:t>
            </w:r>
          </w:p>
        </w:tc>
      </w:tr>
      <w:tr w14:paraId="014633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>
            <w:pPr>
              <w:jc w:val="both"/>
            </w:pPr>
            <w:r>
              <w:t>8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>
            <w:pPr>
              <w:jc w:val="both"/>
              <w:rPr>
                <w:lang w:val="ky-KG"/>
              </w:rPr>
            </w:pPr>
            <w:r>
              <w:rPr>
                <w:lang w:val="ru-RU"/>
              </w:rPr>
              <w:t>Содействие в подготовке и проведении заседания</w:t>
            </w:r>
            <w:r>
              <w:rPr>
                <w:rFonts w:hint="default"/>
                <w:lang w:val="ky-KG"/>
              </w:rPr>
              <w:t xml:space="preserve"> Координационных советов по развитию туризма 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ky-KG"/>
              </w:rPr>
              <w:t xml:space="preserve">  </w:t>
            </w:r>
            <w:r>
              <w:rPr>
                <w:lang w:val="ky-KG"/>
              </w:rPr>
              <w:t xml:space="preserve"> регионального и областного уровня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Протокол заседания</w:t>
            </w:r>
            <w:r>
              <w:rPr>
                <w:rFonts w:hint="default"/>
                <w:lang w:val="ky-KG"/>
              </w:rPr>
              <w:t xml:space="preserve"> с рекомендациями</w:t>
            </w:r>
            <w:r>
              <w:rPr>
                <w:lang w:val="ru-RU"/>
              </w:rPr>
              <w:t xml:space="preserve">, презентация «Зелёный туризм», 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АППКР, РГА</w:t>
            </w:r>
          </w:p>
        </w:tc>
      </w:tr>
      <w:tr w14:paraId="293CAA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5" w:hRule="atLeast"/>
        </w:trPr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>
            <w:pPr>
              <w:jc w:val="both"/>
            </w:pPr>
            <w:r>
              <w:t>9</w:t>
            </w:r>
          </w:p>
        </w:tc>
        <w:tc>
          <w:tcPr>
            <w:tcW w:w="3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>
            <w:pPr>
              <w:jc w:val="both"/>
              <w:rPr>
                <w:lang w:val="ru-RU"/>
              </w:rPr>
            </w:pPr>
            <w:r>
              <w:rPr>
                <w:lang w:val="ky-KG"/>
              </w:rPr>
              <w:t>Подготовка</w:t>
            </w:r>
            <w:r>
              <w:rPr>
                <w:rFonts w:hint="default"/>
                <w:lang w:val="ky-KG"/>
              </w:rPr>
              <w:t xml:space="preserve"> материалов к и</w:t>
            </w:r>
            <w:r>
              <w:rPr>
                <w:lang w:val="ru-RU"/>
              </w:rPr>
              <w:t>тогов</w:t>
            </w:r>
            <w:r>
              <w:rPr>
                <w:lang w:val="ky-KG"/>
              </w:rPr>
              <w:t>ому</w:t>
            </w:r>
            <w:r>
              <w:rPr>
                <w:lang w:val="ru-RU"/>
              </w:rPr>
              <w:t xml:space="preserve"> отчёт</w:t>
            </w:r>
            <w:r>
              <w:rPr>
                <w:lang w:val="ky-KG"/>
              </w:rPr>
              <w:t>у</w:t>
            </w:r>
            <w:r>
              <w:rPr>
                <w:lang w:val="ru-RU"/>
              </w:rPr>
              <w:t xml:space="preserve"> и передача исходников</w:t>
            </w:r>
          </w:p>
        </w:tc>
        <w:tc>
          <w:tcPr>
            <w:tcW w:w="3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все </w:t>
            </w:r>
            <w:r>
              <w:t>Excel</w:t>
            </w:r>
            <w:r>
              <w:rPr>
                <w:lang w:val="ru-RU"/>
              </w:rPr>
              <w:t>/</w:t>
            </w:r>
            <w:r>
              <w:t>Word</w:t>
            </w:r>
            <w:r>
              <w:rPr>
                <w:lang w:val="ru-RU"/>
              </w:rPr>
              <w:t xml:space="preserve"> исходники, медиа‑папка на </w:t>
            </w:r>
            <w:r>
              <w:t>Google</w:t>
            </w:r>
            <w:r>
              <w:rPr>
                <w:lang w:val="ru-RU"/>
              </w:rPr>
              <w:t> </w:t>
            </w:r>
            <w:r>
              <w:t>Drive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>
            <w:pPr>
              <w:jc w:val="both"/>
            </w:pPr>
            <w:r>
              <w:t>DJA + GIZ</w:t>
            </w:r>
          </w:p>
        </w:tc>
      </w:tr>
    </w:tbl>
    <w:p w14:paraId="0000003C">
      <w:pPr>
        <w:jc w:val="both"/>
      </w:pPr>
    </w:p>
    <w:p w14:paraId="00000054">
      <w:pPr>
        <w:jc w:val="both"/>
        <w:rPr>
          <w:lang w:val="ru-RU"/>
        </w:rPr>
      </w:pPr>
    </w:p>
    <w:p w14:paraId="00000056">
      <w:pPr>
        <w:jc w:val="both"/>
        <w:rPr>
          <w:b/>
          <w:color w:val="000000"/>
          <w:lang w:val="ru-RU"/>
        </w:rPr>
      </w:pPr>
      <w:bookmarkStart w:id="1" w:name="_heading=h.6g8s2t7sp0rt" w:colFirst="0" w:colLast="0"/>
      <w:bookmarkEnd w:id="1"/>
      <w:r>
        <w:rPr>
          <w:b/>
          <w:color w:val="000000"/>
          <w:lang w:val="ru-RU"/>
        </w:rPr>
        <w:t>Срок выполнения технического задания</w:t>
      </w:r>
    </w:p>
    <w:p w14:paraId="00000057">
      <w:pPr>
        <w:jc w:val="both"/>
        <w:rPr>
          <w:color w:val="000000"/>
          <w:lang w:val="ru-RU"/>
        </w:rPr>
      </w:pPr>
    </w:p>
    <w:p w14:paraId="0000005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Задание должно быть выполнено в период с 14.05.2025 – 20.12.2025 года в общей сложности предполагается до</w:t>
      </w:r>
      <w:r>
        <w:rPr>
          <w:color w:val="000000"/>
          <w:highlight w:val="none"/>
          <w:lang w:val="ky-KG"/>
        </w:rPr>
        <w:t xml:space="preserve"> 40</w:t>
      </w:r>
      <w:r>
        <w:rPr>
          <w:color w:val="000000"/>
          <w:highlight w:val="none"/>
          <w:lang w:val="ru-RU"/>
        </w:rPr>
        <w:t xml:space="preserve"> экспертных дней,</w:t>
      </w:r>
      <w:r>
        <w:rPr>
          <w:color w:val="000000"/>
          <w:lang w:val="ru-RU"/>
        </w:rPr>
        <w:t xml:space="preserve"> включая командировочных дней.</w:t>
      </w:r>
    </w:p>
    <w:p w14:paraId="00000059">
      <w:pPr>
        <w:ind w:left="-142" w:firstLine="142"/>
        <w:jc w:val="both"/>
        <w:rPr>
          <w:b/>
          <w:color w:val="000000"/>
          <w:lang w:val="ru-RU"/>
        </w:rPr>
      </w:pPr>
    </w:p>
    <w:p w14:paraId="0000005A">
      <w:pPr>
        <w:ind w:left="-142" w:firstLine="142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Место выполнения задания</w:t>
      </w:r>
    </w:p>
    <w:p w14:paraId="0000005B">
      <w:pPr>
        <w:ind w:left="-142" w:firstLine="142"/>
        <w:jc w:val="both"/>
        <w:rPr>
          <w:b/>
          <w:color w:val="000000"/>
          <w:lang w:val="ru-RU"/>
        </w:rPr>
      </w:pPr>
    </w:p>
    <w:p w14:paraId="0000005C">
      <w:pPr>
        <w:ind w:left="-142" w:firstLine="14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Город </w:t>
      </w:r>
      <w:r>
        <w:rPr>
          <w:color w:val="000000"/>
          <w:lang w:val="ky-KG"/>
        </w:rPr>
        <w:t xml:space="preserve"> Жалал-Абад</w:t>
      </w:r>
      <w:r>
        <w:rPr>
          <w:color w:val="000000"/>
          <w:lang w:val="ru-RU"/>
        </w:rPr>
        <w:t xml:space="preserve">, </w:t>
      </w:r>
      <w:r>
        <w:rPr>
          <w:color w:val="000000"/>
          <w:lang w:val="ky-KG"/>
        </w:rPr>
        <w:t xml:space="preserve">Жалал-Абадская область </w:t>
      </w:r>
      <w:r>
        <w:rPr>
          <w:color w:val="000000"/>
          <w:lang w:val="ru-RU"/>
        </w:rPr>
        <w:t xml:space="preserve">Кыргызстан </w:t>
      </w:r>
    </w:p>
    <w:p w14:paraId="0000005D">
      <w:pPr>
        <w:keepNext/>
        <w:spacing w:before="240" w:after="240"/>
        <w:ind w:left="-142" w:firstLine="142"/>
        <w:rPr>
          <w:b/>
          <w:lang w:val="ru-RU"/>
        </w:rPr>
      </w:pPr>
      <w:bookmarkStart w:id="2" w:name="_heading=h.z3w891egqnk" w:colFirst="0" w:colLast="0"/>
      <w:bookmarkEnd w:id="2"/>
      <w:r>
        <w:rPr>
          <w:b/>
          <w:lang w:val="ru-RU"/>
        </w:rPr>
        <w:t xml:space="preserve">Количественные показатели  </w:t>
      </w:r>
    </w:p>
    <w:p w14:paraId="0000005F">
      <w:pPr>
        <w:ind w:left="-142"/>
        <w:jc w:val="both"/>
        <w:rPr>
          <w:b/>
          <w:lang w:val="ru-RU"/>
        </w:rPr>
      </w:pPr>
      <w:r>
        <w:rPr>
          <w:lang w:val="ru-RU"/>
        </w:rPr>
        <w:t xml:space="preserve">Оплата услуг будет производиться при условии подтверждения количества экспертных дней, использованных для выполнения всех требуемых задач и результатов, что подтверждается ежемесячными табелями учета рабочего времени, которые должны быть представлены в качестве приложения к инвойсу на оплату. </w:t>
      </w:r>
    </w:p>
    <w:p w14:paraId="0000008D">
      <w:pPr>
        <w:keepNext/>
        <w:spacing w:before="240" w:after="240"/>
        <w:rPr>
          <w:rFonts w:eastAsia="Arial" w:cs="Arial"/>
          <w:color w:val="000000"/>
          <w:szCs w:val="22"/>
          <w:lang w:val="ru-RU"/>
        </w:rPr>
      </w:pPr>
      <w:r>
        <w:rPr>
          <w:rFonts w:eastAsia="Arial" w:cs="Arial"/>
          <w:color w:val="000000"/>
          <w:szCs w:val="22"/>
          <w:lang w:val="ru-RU"/>
        </w:rPr>
        <w:t>Подрядчик должен выполнить все задания и представить все предложенные материалы в установленные сроки, как описано в таблице количественных требований выше. Документы должны быть представлены на английском и/или русском языках, если иное не согласовано с организацией. Графики выплат будут оговорены дополнительно.</w:t>
      </w:r>
    </w:p>
    <w:p w14:paraId="0000008E">
      <w:pPr>
        <w:keepNext/>
        <w:spacing w:before="240" w:after="240"/>
        <w:rPr>
          <w:rFonts w:eastAsia="Arial" w:cs="Arial"/>
          <w:color w:val="000000"/>
          <w:szCs w:val="22"/>
          <w:lang w:val="ru-RU"/>
        </w:rPr>
      </w:pPr>
      <w:r>
        <w:rPr>
          <w:rFonts w:eastAsia="Arial" w:cs="Arial"/>
          <w:b/>
          <w:color w:val="000000"/>
          <w:szCs w:val="22"/>
          <w:lang w:val="ru-RU"/>
        </w:rPr>
        <w:t xml:space="preserve">Требования к поставщикам услуг </w:t>
      </w:r>
    </w:p>
    <w:p w14:paraId="0000008F">
      <w:pPr>
        <w:rPr>
          <w:lang w:val="ru-RU"/>
        </w:rPr>
      </w:pPr>
      <w:r>
        <w:rPr>
          <w:lang w:val="ru-RU"/>
        </w:rPr>
        <w:t>Для выполнения этого задания требуется один эксперт</w:t>
      </w:r>
      <w:r>
        <w:rPr>
          <w:lang w:val="ky-KG"/>
        </w:rPr>
        <w:t xml:space="preserve">. </w:t>
      </w:r>
      <w:r>
        <w:rPr>
          <w:lang w:val="ru-RU"/>
        </w:rPr>
        <w:t xml:space="preserve">Чтобы соответствовать требованиям данного технического задания, подрядчик должен продемонстрировать следующую квалификацию и опыт работы: </w:t>
      </w:r>
    </w:p>
    <w:p w14:paraId="00000090">
      <w:pPr>
        <w:rPr>
          <w:lang w:val="ru-RU"/>
        </w:rPr>
      </w:pPr>
    </w:p>
    <w:p w14:paraId="206CB14B">
      <w:pPr>
        <w:numPr>
          <w:ilvl w:val="0"/>
          <w:numId w:val="2"/>
        </w:numPr>
        <w:rPr>
          <w:rFonts w:eastAsia="Arial" w:cs="Arial"/>
          <w:color w:val="000000"/>
          <w:szCs w:val="22"/>
          <w:lang w:val="ru-RU"/>
        </w:rPr>
      </w:pPr>
      <w:r>
        <w:rPr>
          <w:rFonts w:eastAsia="Arial" w:cs="Arial"/>
          <w:color w:val="000000"/>
          <w:szCs w:val="22"/>
          <w:lang w:val="ru-RU"/>
        </w:rPr>
        <w:t xml:space="preserve">Подтвержденный опыт в </w:t>
      </w:r>
      <w:r>
        <w:rPr>
          <w:rFonts w:eastAsia="Arial" w:cs="Arial"/>
          <w:color w:val="000000"/>
          <w:szCs w:val="22"/>
          <w:lang w:val="ky-KG"/>
        </w:rPr>
        <w:t xml:space="preserve"> секторе туризма по развитию устойчивого развития туризма не менее </w:t>
      </w:r>
      <w:r>
        <w:rPr>
          <w:rFonts w:hint="default" w:eastAsia="Arial" w:cs="Arial"/>
          <w:color w:val="000000"/>
          <w:szCs w:val="22"/>
          <w:lang w:val="ky-KG"/>
        </w:rPr>
        <w:t>4</w:t>
      </w:r>
      <w:r>
        <w:rPr>
          <w:rFonts w:eastAsia="Arial" w:cs="Arial"/>
          <w:color w:val="000000"/>
          <w:szCs w:val="22"/>
          <w:lang w:val="ky-KG"/>
        </w:rPr>
        <w:t xml:space="preserve"> года</w:t>
      </w:r>
    </w:p>
    <w:p w14:paraId="00000093">
      <w:pPr>
        <w:numPr>
          <w:ilvl w:val="0"/>
          <w:numId w:val="2"/>
        </w:numPr>
        <w:rPr>
          <w:rFonts w:eastAsia="Arial" w:cs="Arial"/>
          <w:color w:val="000000"/>
          <w:szCs w:val="22"/>
          <w:lang w:val="ru-RU"/>
        </w:rPr>
      </w:pPr>
      <w:r>
        <w:rPr>
          <w:rFonts w:eastAsia="Arial" w:cs="Arial"/>
          <w:color w:val="000000"/>
          <w:szCs w:val="22"/>
          <w:lang w:val="ru-RU"/>
        </w:rPr>
        <w:t>Опыт работы</w:t>
      </w:r>
      <w:r>
        <w:rPr>
          <w:rFonts w:eastAsia="Arial" w:cs="Arial"/>
          <w:color w:val="000000"/>
          <w:szCs w:val="22"/>
          <w:lang w:val="ky-KG"/>
        </w:rPr>
        <w:t xml:space="preserve"> с региональными  координационными советами по развитию туризма </w:t>
      </w:r>
      <w:r>
        <w:rPr>
          <w:rFonts w:eastAsia="Arial" w:cs="Arial"/>
          <w:color w:val="000000"/>
          <w:szCs w:val="22"/>
          <w:lang w:val="ru-RU"/>
        </w:rPr>
        <w:t xml:space="preserve"> </w:t>
      </w:r>
      <w:r>
        <w:rPr>
          <w:rFonts w:eastAsia="Arial" w:cs="Arial"/>
          <w:color w:val="000000"/>
          <w:szCs w:val="22"/>
          <w:lang w:val="ky-KG"/>
        </w:rPr>
        <w:t xml:space="preserve"> не менее </w:t>
      </w:r>
      <w:r>
        <w:rPr>
          <w:rFonts w:hint="default" w:eastAsia="Arial" w:cs="Arial"/>
          <w:color w:val="000000"/>
          <w:szCs w:val="22"/>
          <w:lang w:val="ky-KG"/>
        </w:rPr>
        <w:t>3 лет</w:t>
      </w:r>
    </w:p>
    <w:p w14:paraId="0A6464BF">
      <w:pPr>
        <w:numPr>
          <w:ilvl w:val="0"/>
          <w:numId w:val="2"/>
        </w:numPr>
        <w:rPr>
          <w:rFonts w:eastAsia="Arial" w:cs="Arial"/>
          <w:color w:val="000000"/>
          <w:szCs w:val="22"/>
          <w:lang w:val="ru-RU"/>
        </w:rPr>
      </w:pPr>
      <w:r>
        <w:rPr>
          <w:rFonts w:hint="default" w:eastAsia="Arial" w:cs="Arial"/>
          <w:color w:val="000000"/>
          <w:szCs w:val="22"/>
          <w:lang w:val="ky-KG"/>
        </w:rPr>
        <w:t>Опыт работы по реализации проектов с мобилизацией сообщества не менее 5 лет.</w:t>
      </w:r>
    </w:p>
    <w:p w14:paraId="277BB9FF">
      <w:pPr>
        <w:numPr>
          <w:ilvl w:val="0"/>
          <w:numId w:val="2"/>
        </w:numPr>
        <w:rPr>
          <w:rFonts w:eastAsia="Arial" w:cs="Arial"/>
          <w:color w:val="000000"/>
          <w:szCs w:val="22"/>
          <w:lang w:val="ru-RU"/>
        </w:rPr>
      </w:pPr>
      <w:r>
        <w:rPr>
          <w:rFonts w:eastAsia="Arial" w:cs="Arial"/>
          <w:color w:val="000000"/>
          <w:szCs w:val="22"/>
          <w:lang w:val="ky-KG"/>
        </w:rPr>
        <w:t>Опыт</w:t>
      </w:r>
      <w:r>
        <w:rPr>
          <w:rFonts w:hint="default" w:eastAsia="Arial" w:cs="Arial"/>
          <w:color w:val="000000"/>
          <w:szCs w:val="22"/>
          <w:lang w:val="ky-KG"/>
        </w:rPr>
        <w:t xml:space="preserve"> работы по организации демонстрационных мероприятий не менее5 лет</w:t>
      </w:r>
      <w:bookmarkStart w:id="3" w:name="_GoBack"/>
      <w:bookmarkEnd w:id="3"/>
    </w:p>
    <w:sectPr>
      <w:footerReference r:id="rId3" w:type="default"/>
      <w:pgSz w:w="11906" w:h="16838"/>
      <w:pgMar w:top="1418" w:right="1418" w:bottom="1276" w:left="1418" w:header="425" w:footer="56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4">
    <w:pPr>
      <w:widowControl w:val="0"/>
      <w:spacing w:line="276" w:lineRule="auto"/>
      <w:rPr>
        <w:rFonts w:eastAsia="Arial" w:cs="Arial"/>
        <w:color w:val="000000"/>
        <w:szCs w:val="22"/>
      </w:rPr>
    </w:pPr>
  </w:p>
  <w:tbl>
    <w:tblPr>
      <w:tblStyle w:val="65"/>
      <w:tblW w:w="9286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68"/>
      <w:gridCol w:w="4208"/>
      <w:gridCol w:w="2610"/>
    </w:tblGrid>
    <w:tr w14:paraId="1EB0EB72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4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00009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420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00009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Erstellt von: </w:t>
          </w: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000097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00009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02F1B81"/>
    <w:multiLevelType w:val="multilevel"/>
    <w:tmpl w:val="502F1B81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6"/>
    <w:rsid w:val="004F0480"/>
    <w:rsid w:val="009F299A"/>
    <w:rsid w:val="00AC43A7"/>
    <w:rsid w:val="00B85866"/>
    <w:rsid w:val="105733B5"/>
    <w:rsid w:val="160F4DD3"/>
    <w:rsid w:val="27EC2FCD"/>
    <w:rsid w:val="5F2F7A39"/>
    <w:rsid w:val="6AB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iPriority="4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de-DE" w:eastAsia="de-DE" w:bidi="ar-SA"/>
    </w:rPr>
  </w:style>
  <w:style w:type="paragraph" w:styleId="2">
    <w:name w:val="heading 1"/>
    <w:basedOn w:val="1"/>
    <w:next w:val="1"/>
    <w:link w:val="33"/>
    <w:qFormat/>
    <w:uiPriority w:val="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34"/>
    <w:unhideWhenUsed/>
    <w:qFormat/>
    <w:uiPriority w:val="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35"/>
    <w:unhideWhenUsed/>
    <w:qFormat/>
    <w:uiPriority w:val="1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page number"/>
    <w:basedOn w:val="11"/>
    <w:unhideWhenUsed/>
    <w:qFormat/>
    <w:uiPriority w:val="0"/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annotation text"/>
    <w:basedOn w:val="1"/>
    <w:link w:val="59"/>
    <w:unhideWhenUsed/>
    <w:qFormat/>
    <w:uiPriority w:val="99"/>
    <w:rPr>
      <w:sz w:val="20"/>
    </w:rPr>
  </w:style>
  <w:style w:type="paragraph" w:styleId="18">
    <w:name w:val="annotation subject"/>
    <w:basedOn w:val="17"/>
    <w:next w:val="17"/>
    <w:link w:val="60"/>
    <w:semiHidden/>
    <w:unhideWhenUsed/>
    <w:qFormat/>
    <w:uiPriority w:val="99"/>
    <w:rPr>
      <w:b/>
      <w:bCs/>
    </w:rPr>
  </w:style>
  <w:style w:type="paragraph" w:styleId="19">
    <w:name w:val="header"/>
    <w:basedOn w:val="1"/>
    <w:link w:val="31"/>
    <w:unhideWhenUsed/>
    <w:qFormat/>
    <w:uiPriority w:val="0"/>
    <w:pPr>
      <w:tabs>
        <w:tab w:val="center" w:pos="4536"/>
        <w:tab w:val="right" w:pos="9072"/>
      </w:tabs>
    </w:pPr>
  </w:style>
  <w:style w:type="paragraph" w:styleId="20">
    <w:name w:val="Title"/>
    <w:basedOn w:val="1"/>
    <w:next w:val="1"/>
    <w:link w:val="37"/>
    <w:qFormat/>
    <w:uiPriority w:val="10"/>
    <w:pPr>
      <w:contextualSpacing/>
    </w:pPr>
    <w:rPr>
      <w:rFonts w:ascii="Cambria" w:hAnsi="Cambria" w:eastAsiaTheme="majorEastAsia" w:cstheme="majorBidi"/>
      <w:spacing w:val="-10"/>
      <w:kern w:val="28"/>
      <w:sz w:val="56"/>
      <w:szCs w:val="56"/>
    </w:rPr>
  </w:style>
  <w:style w:type="paragraph" w:styleId="21">
    <w:name w:val="footer"/>
    <w:basedOn w:val="1"/>
    <w:link w:val="29"/>
    <w:unhideWhenUsed/>
    <w:qFormat/>
    <w:uiPriority w:val="0"/>
    <w:pPr>
      <w:tabs>
        <w:tab w:val="center" w:pos="4536"/>
        <w:tab w:val="right" w:pos="9072"/>
      </w:tabs>
    </w:pPr>
  </w:style>
  <w:style w:type="paragraph" w:styleId="2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23">
    <w:name w:val="Subtitle"/>
    <w:basedOn w:val="1"/>
    <w:next w:val="1"/>
    <w:link w:val="47"/>
    <w:qFormat/>
    <w:uiPriority w:val="0"/>
    <w:pPr>
      <w:spacing w:after="160"/>
    </w:pPr>
    <w:rPr>
      <w:rFonts w:ascii="Calibri" w:hAnsi="Calibri" w:eastAsia="Calibri" w:cs="Calibri"/>
      <w:color w:val="595959"/>
      <w:sz w:val="28"/>
      <w:szCs w:val="28"/>
    </w:rPr>
  </w:style>
  <w:style w:type="table" w:styleId="24">
    <w:name w:val="Table Grid"/>
    <w:basedOn w:val="12"/>
    <w:qFormat/>
    <w:uiPriority w:val="0"/>
    <w:rPr>
      <w:rFonts w:eastAsia="Times New Roman" w:cs="Times New Roman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1. Einrückung"/>
    <w:basedOn w:val="1"/>
    <w:link w:val="57"/>
    <w:qFormat/>
    <w:uiPriority w:val="0"/>
    <w:pPr>
      <w:tabs>
        <w:tab w:val="left" w:pos="567"/>
      </w:tabs>
      <w:ind w:left="567" w:hanging="567"/>
    </w:pPr>
  </w:style>
  <w:style w:type="paragraph" w:customStyle="1" w:styleId="27">
    <w:name w:val="2. Einrückung"/>
    <w:basedOn w:val="1"/>
    <w:qFormat/>
    <w:uiPriority w:val="2"/>
    <w:pPr>
      <w:tabs>
        <w:tab w:val="left" w:pos="567"/>
        <w:tab w:val="left" w:pos="1134"/>
      </w:tabs>
      <w:ind w:left="1134" w:hanging="567"/>
    </w:pPr>
  </w:style>
  <w:style w:type="paragraph" w:customStyle="1" w:styleId="28">
    <w:name w:val="3. Einrückung"/>
    <w:basedOn w:val="1"/>
    <w:qFormat/>
    <w:uiPriority w:val="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29">
    <w:name w:val="Footer Char"/>
    <w:basedOn w:val="11"/>
    <w:link w:val="21"/>
    <w:qFormat/>
    <w:uiPriority w:val="0"/>
    <w:rPr>
      <w:rFonts w:ascii="Arial" w:hAnsi="Arial" w:eastAsiaTheme="minorHAnsi"/>
      <w:lang w:eastAsia="en-US"/>
    </w:rPr>
  </w:style>
  <w:style w:type="paragraph" w:styleId="30">
    <w:name w:val="No Spacing"/>
    <w:basedOn w:val="1"/>
    <w:unhideWhenUsed/>
    <w:qFormat/>
    <w:uiPriority w:val="4"/>
  </w:style>
  <w:style w:type="character" w:customStyle="1" w:styleId="31">
    <w:name w:val="Header Char"/>
    <w:basedOn w:val="11"/>
    <w:link w:val="19"/>
    <w:qFormat/>
    <w:uiPriority w:val="0"/>
    <w:rPr>
      <w:rFonts w:ascii="Arial" w:hAnsi="Arial" w:eastAsiaTheme="minorHAnsi"/>
      <w:lang w:eastAsia="en-US"/>
    </w:rPr>
  </w:style>
  <w:style w:type="character" w:customStyle="1" w:styleId="32">
    <w:name w:val="Balloon Text Char"/>
    <w:basedOn w:val="11"/>
    <w:link w:val="16"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character" w:customStyle="1" w:styleId="33">
    <w:name w:val="Heading 1 Char"/>
    <w:basedOn w:val="11"/>
    <w:link w:val="2"/>
    <w:qFormat/>
    <w:uiPriority w:val="1"/>
    <w:rPr>
      <w:rFonts w:ascii="Arial" w:hAnsi="Arial" w:eastAsiaTheme="majorEastAsia" w:cstheme="majorBidi"/>
      <w:b/>
      <w:bCs/>
      <w:sz w:val="28"/>
      <w:szCs w:val="28"/>
      <w:lang w:eastAsia="en-US"/>
    </w:rPr>
  </w:style>
  <w:style w:type="character" w:customStyle="1" w:styleId="34">
    <w:name w:val="Heading 2 Char"/>
    <w:basedOn w:val="11"/>
    <w:link w:val="3"/>
    <w:qFormat/>
    <w:uiPriority w:val="1"/>
    <w:rPr>
      <w:rFonts w:ascii="Arial" w:hAnsi="Arial" w:eastAsiaTheme="majorEastAsia" w:cstheme="majorBidi"/>
      <w:b/>
      <w:bCs/>
      <w:sz w:val="24"/>
      <w:szCs w:val="26"/>
      <w:lang w:eastAsia="en-US"/>
    </w:rPr>
  </w:style>
  <w:style w:type="character" w:customStyle="1" w:styleId="35">
    <w:name w:val="Heading 3 Char"/>
    <w:basedOn w:val="11"/>
    <w:link w:val="4"/>
    <w:qFormat/>
    <w:uiPriority w:val="1"/>
    <w:rPr>
      <w:rFonts w:ascii="Arial" w:hAnsi="Arial" w:eastAsiaTheme="majorEastAsia" w:cstheme="majorBidi"/>
      <w:b/>
      <w:bCs/>
      <w:lang w:eastAsia="en-US"/>
    </w:rPr>
  </w:style>
  <w:style w:type="character" w:customStyle="1" w:styleId="36">
    <w:name w:val="Heading 4 Char"/>
    <w:basedOn w:val="11"/>
    <w:link w:val="5"/>
    <w:qFormat/>
    <w:uiPriority w:val="9"/>
    <w:rPr>
      <w:rFonts w:ascii="Arial" w:hAnsi="Arial" w:eastAsiaTheme="majorEastAsia" w:cstheme="majorBidi"/>
      <w:bCs/>
      <w:iCs/>
      <w:lang w:eastAsia="en-US"/>
    </w:rPr>
  </w:style>
  <w:style w:type="character" w:customStyle="1" w:styleId="37">
    <w:name w:val="Title Char"/>
    <w:basedOn w:val="11"/>
    <w:link w:val="20"/>
    <w:qFormat/>
    <w:uiPriority w:val="10"/>
    <w:rPr>
      <w:rFonts w:ascii="Cambria" w:hAnsi="Cambria"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38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lang w:eastAsia="en-US"/>
    </w:rPr>
  </w:style>
  <w:style w:type="table" w:customStyle="1" w:styleId="39">
    <w:name w:val="Table Grid Light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0">
    <w:name w:val="fui-primitive"/>
    <w:basedOn w:val="11"/>
    <w:qFormat/>
    <w:uiPriority w:val="0"/>
  </w:style>
  <w:style w:type="character" w:customStyle="1" w:styleId="41">
    <w:name w:val="fui-readerheading"/>
    <w:basedOn w:val="11"/>
    <w:qFormat/>
    <w:uiPriority w:val="0"/>
  </w:style>
  <w:style w:type="character" w:styleId="42">
    <w:name w:val="Placeholder Text"/>
    <w:basedOn w:val="11"/>
    <w:semiHidden/>
    <w:qFormat/>
    <w:uiPriority w:val="99"/>
    <w:rPr>
      <w:color w:val="808080"/>
    </w:rPr>
  </w:style>
  <w:style w:type="character" w:customStyle="1" w:styleId="4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Subtitle Char"/>
    <w:basedOn w:val="11"/>
    <w:link w:val="2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8">
    <w:name w:val="Quote"/>
    <w:basedOn w:val="1"/>
    <w:next w:val="1"/>
    <w:link w:val="4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11"/>
    <w:link w:val="48"/>
    <w:qFormat/>
    <w:uiPriority w:val="29"/>
    <w:rPr>
      <w:rFonts w:ascii="Arial" w:hAnsi="Arial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0">
    <w:name w:val="List Paragraph"/>
    <w:basedOn w:val="1"/>
    <w:link w:val="58"/>
    <w:qFormat/>
    <w:uiPriority w:val="34"/>
    <w:pPr>
      <w:ind w:left="720"/>
      <w:contextualSpacing/>
    </w:pPr>
  </w:style>
  <w:style w:type="character" w:customStyle="1" w:styleId="51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53">
    <w:name w:val="Intense Quote Char"/>
    <w:basedOn w:val="11"/>
    <w:link w:val="52"/>
    <w:qFormat/>
    <w:uiPriority w:val="30"/>
    <w:rPr>
      <w:rFonts w:ascii="Arial" w:hAnsi="Arial"/>
      <w:i/>
      <w:iCs/>
      <w:color w:val="2F5597" w:themeColor="accent1" w:themeShade="BF"/>
      <w:lang w:eastAsia="en-US"/>
    </w:rPr>
  </w:style>
  <w:style w:type="character" w:customStyle="1" w:styleId="54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55">
    <w:name w:val="Aufzählung 2"/>
    <w:basedOn w:val="2"/>
    <w:link w:val="56"/>
    <w:qFormat/>
    <w:uiPriority w:val="0"/>
    <w:pPr>
      <w:keepLines w:val="0"/>
      <w:spacing w:before="240" w:after="240" w:line="360" w:lineRule="atLeast"/>
      <w:ind w:left="709"/>
    </w:pPr>
    <w:rPr>
      <w:rFonts w:eastAsia="Times New Roman" w:cs="Times New Roman"/>
      <w:bCs w:val="0"/>
      <w:iCs/>
      <w:kern w:val="28"/>
      <w:sz w:val="24"/>
      <w:szCs w:val="20"/>
    </w:rPr>
  </w:style>
  <w:style w:type="character" w:customStyle="1" w:styleId="56">
    <w:name w:val="Aufzählung 2 Zchn"/>
    <w:basedOn w:val="33"/>
    <w:link w:val="55"/>
    <w:qFormat/>
    <w:uiPriority w:val="0"/>
    <w:rPr>
      <w:rFonts w:ascii="Arial" w:hAnsi="Arial" w:eastAsia="Times New Roman" w:cs="Times New Roman"/>
      <w:bCs w:val="0"/>
      <w:iCs/>
      <w:kern w:val="28"/>
      <w:sz w:val="24"/>
      <w:szCs w:val="20"/>
      <w:lang w:eastAsia="de-DE"/>
    </w:rPr>
  </w:style>
  <w:style w:type="character" w:customStyle="1" w:styleId="57">
    <w:name w:val="1. Einrückung Char"/>
    <w:link w:val="26"/>
    <w:qFormat/>
    <w:uiPriority w:val="0"/>
    <w:rPr>
      <w:rFonts w:ascii="Arial" w:hAnsi="Arial" w:eastAsia="Times New Roman" w:cs="Times New Roman"/>
      <w:szCs w:val="20"/>
      <w:lang w:eastAsia="de-DE"/>
    </w:rPr>
  </w:style>
  <w:style w:type="character" w:customStyle="1" w:styleId="58">
    <w:name w:val="List Paragraph Char"/>
    <w:link w:val="50"/>
    <w:qFormat/>
    <w:locked/>
    <w:uiPriority w:val="34"/>
    <w:rPr>
      <w:rFonts w:ascii="Arial" w:hAnsi="Arial" w:eastAsia="Times New Roman" w:cs="Times New Roman"/>
      <w:szCs w:val="20"/>
      <w:lang w:eastAsia="de-DE"/>
    </w:rPr>
  </w:style>
  <w:style w:type="character" w:customStyle="1" w:styleId="59">
    <w:name w:val="Comment Text Char"/>
    <w:basedOn w:val="11"/>
    <w:link w:val="17"/>
    <w:qFormat/>
    <w:uiPriority w:val="99"/>
    <w:rPr>
      <w:rFonts w:ascii="Arial" w:hAnsi="Arial" w:eastAsia="Times New Roman" w:cs="Times New Roman"/>
      <w:sz w:val="20"/>
      <w:szCs w:val="20"/>
      <w:lang w:eastAsia="de-DE"/>
    </w:rPr>
  </w:style>
  <w:style w:type="character" w:customStyle="1" w:styleId="60">
    <w:name w:val="Comment Subject Char"/>
    <w:basedOn w:val="59"/>
    <w:link w:val="18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eastAsia="de-DE"/>
    </w:rPr>
  </w:style>
  <w:style w:type="table" w:customStyle="1" w:styleId="61">
    <w:name w:val="_Style 69"/>
    <w:basedOn w:val="2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_Style 70"/>
    <w:basedOn w:val="2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_Style 71"/>
    <w:basedOn w:val="2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_Style 72"/>
    <w:basedOn w:val="2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_Style 73"/>
    <w:basedOn w:val="2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wWKcSz7cRIP0AsLXKpklcaiHQ==">CgMxLjAaHQoBMBIYChYIB0ISEhBBcmlhbCBVbmljb2RlIE1TGh0KATESGAoWCAdCEhIQQXJpYWwgVW5pY29kZSBNUxodCgEyEhgKFggHQhISEEFyaWFsIFVuaWNvZGUgTVMaHQoBMxIYChYIB0ISEhBBcmlhbCBVbmljb2RlIE1TGh0KATQSGAoWCAdCEhIQQXJpYWwgVW5pY29kZSBNUxonCgE1EiIKIAgEKhwKC0FBQUJqWFVLTWFVEAgaC0FBQUJqWFVLTWFVGh0KATYSGAoWCAdCEhIQQXJpYWwgVW5pY29kZSBNUxodCgE3EhgKFggHQhISEEFyaWFsIFVuaWNvZGUgTVMaHQoBOBIYChYIB0ISEhBBcmlhbCBVbmljb2RlIE1TGh0KATkSGAoWCAdCEhIQQXJpYWwgVW5pY29kZSBNUxoeCgIxMBIYChYIB0ISEhBBcmlhbCBVbmljb2RlIE1TGh4KAjExEhgKFggHQhISEEFyaWFsIFVuaWNvZGUgTVMaKAoCMTISIgogCAQqHAoLQUFBQmpYVUtNYVkQCBoLQUFBQmpYVUtNYVkizwMKC0FBQUJqWFVLTWFZEqUDCgtBQUFCalhVS01hWRILQUFBQmpYVUtNYVkaQAoJdGV4dC9odG1sEjPQo9C60LDQt9Cw0YLRjCDRgdCy0L7QtSDQutC+0LvQuNGH0LXRgdGC0LLQviDQu9C10YIiQQoKdGV4dC9wbGFpbhIz0KPQutCw0LfQsNGC0Ywg0YHQstC+0LUg0LrQvtC70LjRh9C10YHRgtCy0L4g0LvQtdGCKlMKGkJhaWp1bWFub3ZhLCBFbHZpcmEgR0laIEtHGjUvL3NzbC5nc3RhdGljLmNvbS9kb2NzL2NvbW1vbi9ibHVlX3NpbGhvdWV0dGU5Ni0wLnBuZzDA2p+s6DI4wNqfrOgyclUKGkJhaWp1bWFub3ZhLCBFbHZpcmEgR0laIEtHGjcKNS8vc3NsLmdzdGF0aWMuY29tL2RvY3MvY29tbW9uL2JsdWVfc2lsaG91ZXR0ZTk2LTAucG5neACIAQGaAQYIABAAGACqATUSM9Cj0LrQsNC30LDRgtGMINGB0LLQvtC1INC60L7Qu9C40YfQtdGB0YLQstC+INC70LXRgrABALgBARjA2p+s6DIgwNqfrOgyMABCCGtpeC5jbXQxIuoDCgtBQUFCalhVS01hVRLAAwoLQUFBQmpYVUtNYVUSC0FBQUJqWFVLTWFVGkkKCXRleHQvaHRtbBI80JXRgdC70Lgg0LXRgdGC0Ywg0YfRgtC+INC00L7QsdCw0LLQuNGC0YwsINC00L7QsdCw0LLRjNGC0LUuIkoKCnRleHQvcGxhaW4SPNCV0YHQu9C4INC10YHRgtGMINGH0YLQviDQtNC+0LHQsNCy0LjRgtGMLCDQtNC+0LHQsNCy0YzRgtC1LipTChpCYWlqdW1hbm92YSwgRWx2aXJhIEdJWiBLRxo1Ly9zc2wuZ3N0YXRpYy5jb20vZG9jcy9jb21tb24vYmx1ZV9zaWxob3VldHRlOTYtMC5wbmcwgLTnj80yOIC054/NMnJVChpCYWlqdW1hbm92YSwgRWx2aXJhIEdJWiBLRxo3CjUvL3NzbC5nc3RhdGljLmNvbS9kb2NzL2NvbW1vbi9ibHVlX3NpbGhvdWV0dGU5Ni0wLnBuZ3gAiAEBmgEGCAAQABgAqgE+EjzQldGB0LvQuCDQtdGB0YLRjCDRh9GC0L4g0LTQvtCx0LDQstC40YLRjCwg0LTQvtCx0LDQstGM0YLQtS6wAQC4AQEYgLTnj80yIIC054/NMjAAQghraXguY210MDIOaC5uOWcybjd6Y2Rlb2cyDmguNmc4czJ0N3NwMHJ0Mg1oLnozdzg5MWVncW5rMg5oLmo3YjJ5dmRmdjB1MjgAciExbnliV1FWQTV0Q1EyazRTYmpMSEdnczc1MmtHY0FUS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5371</Characters>
  <Lines>44</Lines>
  <Paragraphs>12</Paragraphs>
  <TotalTime>9</TotalTime>
  <ScaleCrop>false</ScaleCrop>
  <LinksUpToDate>false</LinksUpToDate>
  <CharactersWithSpaces>6301</CharactersWithSpaces>
  <Application>WPS Office_12.2.0.21179_F1E327BC-269C-435d-A152-05C5408002CA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2025-05-14T10:12:00Z</dcterms:created>
  <dc:creator>Baijumanova, Elvira GIZ KG</dc:creator>
  <cp:lastModifiedBy>Чынара Жусупова</cp:lastModifiedBy>
  <dcterms:modified xsi:type="dcterms:W3CDTF">2025-05-15T23:57:41Z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BFC3F7621C9746299DB1C084976145BA_13</vt:lpwstr>
  </property>
</Properties>
</file>