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892F" w14:textId="77777777" w:rsidR="00073861" w:rsidRDefault="00C540F5" w:rsidP="000C61B6">
      <w:pPr>
        <w:pStyle w:val="Heading1a"/>
        <w:keepNext w:val="0"/>
        <w:keepLines w:val="0"/>
        <w:tabs>
          <w:tab w:val="clear" w:pos="-720"/>
        </w:tabs>
        <w:suppressAutoHyphens w:val="0"/>
        <w:spacing w:line="276" w:lineRule="auto"/>
        <w:rPr>
          <w:bCs/>
          <w:smallCaps w:val="0"/>
          <w:sz w:val="24"/>
          <w:szCs w:val="24"/>
          <w:lang w:val="ky-KG"/>
        </w:rPr>
      </w:pPr>
      <w:bookmarkStart w:id="0" w:name="_Hlk102147022"/>
      <w:r w:rsidRPr="000C61B6">
        <w:rPr>
          <w:bCs/>
          <w:smallCaps w:val="0"/>
          <w:sz w:val="24"/>
          <w:szCs w:val="24"/>
          <w:lang w:val="ky-KG"/>
        </w:rPr>
        <w:t>ЗАПРОС НА ВЫРАЖЕНИЕ ЗАИ</w:t>
      </w:r>
      <w:r w:rsidR="000379EB" w:rsidRPr="000C61B6">
        <w:rPr>
          <w:bCs/>
          <w:smallCaps w:val="0"/>
          <w:sz w:val="24"/>
          <w:szCs w:val="24"/>
          <w:lang w:val="ky-KG"/>
        </w:rPr>
        <w:t>Н</w:t>
      </w:r>
      <w:r w:rsidRPr="000C61B6">
        <w:rPr>
          <w:bCs/>
          <w:smallCaps w:val="0"/>
          <w:sz w:val="24"/>
          <w:szCs w:val="24"/>
          <w:lang w:val="ky-KG"/>
        </w:rPr>
        <w:t xml:space="preserve">ТЕРЕСОВАННОСТИ </w:t>
      </w:r>
      <w:bookmarkEnd w:id="0"/>
    </w:p>
    <w:p w14:paraId="2ACB3296" w14:textId="2A817A96" w:rsidR="009830E4" w:rsidRPr="000C61B6" w:rsidRDefault="00C540F5" w:rsidP="000C61B6">
      <w:pPr>
        <w:pStyle w:val="Heading1a"/>
        <w:keepNext w:val="0"/>
        <w:keepLines w:val="0"/>
        <w:tabs>
          <w:tab w:val="clear" w:pos="-720"/>
        </w:tabs>
        <w:suppressAutoHyphens w:val="0"/>
        <w:spacing w:line="276" w:lineRule="auto"/>
        <w:rPr>
          <w:bCs/>
          <w:smallCaps w:val="0"/>
          <w:sz w:val="24"/>
          <w:szCs w:val="24"/>
          <w:lang w:val="ru-RU"/>
        </w:rPr>
      </w:pPr>
      <w:r w:rsidRPr="000C61B6">
        <w:rPr>
          <w:bCs/>
          <w:smallCaps w:val="0"/>
          <w:sz w:val="24"/>
          <w:szCs w:val="24"/>
          <w:lang w:val="ky-KG"/>
        </w:rPr>
        <w:t>(КОНСУЛЬТАЦИОННЫЕ УСЛУГИ – ОТБОР ФИРМ)</w:t>
      </w:r>
    </w:p>
    <w:p w14:paraId="50607809" w14:textId="77777777" w:rsidR="009830E4" w:rsidRPr="00DA6E2D" w:rsidRDefault="009830E4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51C6CA3A" w14:textId="7A131DB3" w:rsidR="009830E4" w:rsidRPr="000C61B6" w:rsidRDefault="009E33CD" w:rsidP="00BF7802">
      <w:pPr>
        <w:suppressAutoHyphens/>
        <w:spacing w:line="276" w:lineRule="auto"/>
        <w:jc w:val="both"/>
        <w:rPr>
          <w:rFonts w:ascii="Times New Roman" w:hAnsi="Times New Roman"/>
          <w:b/>
          <w:iCs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Кыргызская Республика </w:t>
      </w:r>
    </w:p>
    <w:p w14:paraId="623BEF03" w14:textId="2B91CF9C" w:rsidR="008F0D45" w:rsidRPr="00BF7802" w:rsidRDefault="008F0D45" w:rsidP="00BF7802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50FA4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Проект </w:t>
      </w:r>
      <w:r w:rsidR="00550FA4" w:rsidRPr="00550FA4">
        <w:rPr>
          <w:rFonts w:ascii="Times New Roman" w:hAnsi="Times New Roman"/>
          <w:b/>
          <w:sz w:val="24"/>
          <w:szCs w:val="24"/>
          <w:lang w:val="ru-RU"/>
        </w:rPr>
        <w:t>«</w:t>
      </w:r>
      <w:r w:rsidR="0086049E" w:rsidRPr="00550FA4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>Развитие устойчивых агропродовольственных кластеров</w:t>
      </w:r>
      <w:r w:rsidR="00550FA4" w:rsidRPr="00550FA4">
        <w:rPr>
          <w:rFonts w:ascii="Times New Roman" w:hAnsi="Times New Roman"/>
          <w:b/>
          <w:sz w:val="24"/>
          <w:szCs w:val="24"/>
          <w:lang w:val="ru-RU"/>
        </w:rPr>
        <w:t>»</w:t>
      </w:r>
      <w:r w:rsidR="0086049E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 </w:t>
      </w:r>
      <w:r w:rsidR="00BF7802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br/>
      </w:r>
      <w:r w:rsidR="00BF7802" w:rsidRPr="00BF7802">
        <w:rPr>
          <w:rFonts w:ascii="Times New Roman" w:hAnsi="Times New Roman"/>
          <w:sz w:val="24"/>
          <w:szCs w:val="24"/>
          <w:lang w:val="ru-RU"/>
        </w:rPr>
        <w:t>(Кредит №7526-KG, Грант GAFSP №TF C 4129-KG)</w:t>
      </w:r>
    </w:p>
    <w:p w14:paraId="3F0C318B" w14:textId="77777777" w:rsidR="008F0D45" w:rsidRDefault="008F0D45" w:rsidP="00BF7802">
      <w:pPr>
        <w:suppressAutoHyphens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451CA95" w14:textId="64CF6F4F" w:rsidR="00BF7802" w:rsidRPr="00BF7802" w:rsidRDefault="008C5AAC" w:rsidP="00BF7802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5D32E7">
        <w:rPr>
          <w:rFonts w:ascii="Times New Roman" w:hAnsi="Times New Roman"/>
          <w:b/>
          <w:szCs w:val="24"/>
          <w:lang w:val="ru-RU"/>
        </w:rPr>
        <w:t xml:space="preserve">Наименование задания: </w:t>
      </w:r>
      <w:r w:rsidR="00BF7802" w:rsidRPr="00BF7802">
        <w:rPr>
          <w:rFonts w:ascii="Times New Roman" w:hAnsi="Times New Roman"/>
          <w:sz w:val="24"/>
          <w:szCs w:val="24"/>
          <w:lang w:val="ru-RU"/>
        </w:rPr>
        <w:t>Консультационные услуги на разработку пакета проектно-сметной документации и ведение авторского надзора на объектах</w:t>
      </w:r>
      <w:r w:rsidR="005D1F5D">
        <w:rPr>
          <w:rFonts w:ascii="Times New Roman" w:hAnsi="Times New Roman"/>
          <w:sz w:val="24"/>
          <w:szCs w:val="24"/>
          <w:lang w:val="ru-RU"/>
        </w:rPr>
        <w:t>:</w:t>
      </w:r>
    </w:p>
    <w:p w14:paraId="199A33F1" w14:textId="7308E239" w:rsidR="008F0D45" w:rsidRDefault="008F0D45" w:rsidP="00BF7802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DE80E0F" w14:textId="71819B54" w:rsidR="005D1F5D" w:rsidRPr="005D1F5D" w:rsidRDefault="005D1F5D" w:rsidP="005D1F5D">
      <w:pPr>
        <w:numPr>
          <w:ilvl w:val="0"/>
          <w:numId w:val="13"/>
        </w:numPr>
        <w:shd w:val="clear" w:color="auto" w:fill="FFFFFF"/>
        <w:spacing w:line="276" w:lineRule="auto"/>
        <w:ind w:left="567" w:right="284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5D1F5D">
        <w:rPr>
          <w:rFonts w:ascii="Times New Roman" w:hAnsi="Times New Roman"/>
          <w:sz w:val="24"/>
          <w:szCs w:val="24"/>
          <w:lang w:val="ru-RU"/>
        </w:rPr>
        <w:t xml:space="preserve">ГП </w:t>
      </w:r>
      <w:r w:rsidR="00550FA4">
        <w:rPr>
          <w:rFonts w:ascii="Times New Roman" w:hAnsi="Times New Roman"/>
          <w:sz w:val="24"/>
          <w:szCs w:val="24"/>
          <w:lang w:val="ru-RU"/>
        </w:rPr>
        <w:t>«</w:t>
      </w:r>
      <w:r w:rsidRPr="005D1F5D">
        <w:rPr>
          <w:rFonts w:ascii="Times New Roman" w:hAnsi="Times New Roman"/>
          <w:sz w:val="24"/>
          <w:szCs w:val="24"/>
          <w:lang w:val="ru-RU"/>
        </w:rPr>
        <w:t>Кыргызгосплемзавод</w:t>
      </w:r>
      <w:r w:rsidR="00550FA4">
        <w:rPr>
          <w:rFonts w:ascii="Times New Roman" w:hAnsi="Times New Roman"/>
          <w:sz w:val="24"/>
          <w:szCs w:val="24"/>
          <w:lang w:val="ru-RU"/>
        </w:rPr>
        <w:t>»</w:t>
      </w:r>
      <w:r w:rsidRPr="005D1F5D">
        <w:rPr>
          <w:rFonts w:ascii="Times New Roman" w:hAnsi="Times New Roman"/>
          <w:sz w:val="24"/>
          <w:szCs w:val="24"/>
          <w:lang w:val="ru-RU"/>
        </w:rPr>
        <w:t xml:space="preserve"> в с. Фрунзе 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Сокулукского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района Чуйской области.</w:t>
      </w:r>
    </w:p>
    <w:p w14:paraId="6A701E94" w14:textId="0D6714D5" w:rsidR="005D1F5D" w:rsidRPr="005D1F5D" w:rsidRDefault="005D1F5D" w:rsidP="005D1F5D">
      <w:pPr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1F5D">
        <w:rPr>
          <w:rFonts w:ascii="Times New Roman" w:hAnsi="Times New Roman"/>
          <w:sz w:val="24"/>
          <w:szCs w:val="24"/>
          <w:lang w:val="ru-RU"/>
        </w:rPr>
        <w:t xml:space="preserve">ГП </w:t>
      </w:r>
      <w:r w:rsidR="00550FA4">
        <w:rPr>
          <w:rFonts w:ascii="Times New Roman" w:hAnsi="Times New Roman"/>
          <w:sz w:val="24"/>
          <w:szCs w:val="24"/>
          <w:lang w:val="ru-RU"/>
        </w:rPr>
        <w:t>«</w:t>
      </w:r>
      <w:r w:rsidRPr="005D1F5D">
        <w:rPr>
          <w:rFonts w:ascii="Times New Roman" w:hAnsi="Times New Roman"/>
          <w:sz w:val="24"/>
          <w:szCs w:val="24"/>
          <w:lang w:val="ru-RU"/>
        </w:rPr>
        <w:t>Кыргызская опытно-селекционная станция по сахарной свекле</w:t>
      </w:r>
      <w:r w:rsidR="00550FA4">
        <w:rPr>
          <w:rFonts w:ascii="Times New Roman" w:hAnsi="Times New Roman"/>
          <w:sz w:val="24"/>
          <w:szCs w:val="24"/>
          <w:lang w:val="ru-RU"/>
        </w:rPr>
        <w:t>»</w:t>
      </w:r>
      <w:r w:rsidRPr="005D1F5D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Кыргызском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НИИ земледелия (КНИИЗ) в с. Первомайский, 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Сокулукского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района Чуйской области.</w:t>
      </w:r>
    </w:p>
    <w:p w14:paraId="6A51F864" w14:textId="1F903C86" w:rsidR="005D1F5D" w:rsidRPr="005D1F5D" w:rsidRDefault="005D1F5D" w:rsidP="005D1F5D">
      <w:pPr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1F5D">
        <w:rPr>
          <w:rFonts w:ascii="Times New Roman" w:hAnsi="Times New Roman"/>
          <w:sz w:val="24"/>
          <w:szCs w:val="24"/>
          <w:lang w:val="ru-RU"/>
        </w:rPr>
        <w:t xml:space="preserve">ГП </w:t>
      </w:r>
      <w:r w:rsidR="00550FA4">
        <w:rPr>
          <w:rFonts w:ascii="Times New Roman" w:hAnsi="Times New Roman"/>
          <w:sz w:val="24"/>
          <w:szCs w:val="24"/>
          <w:lang w:val="ru-RU"/>
        </w:rPr>
        <w:t>«</w:t>
      </w:r>
      <w:r w:rsidRPr="005D1F5D">
        <w:rPr>
          <w:rFonts w:ascii="Times New Roman" w:hAnsi="Times New Roman"/>
          <w:sz w:val="24"/>
          <w:szCs w:val="24"/>
          <w:lang w:val="ru-RU"/>
        </w:rPr>
        <w:t>Иссык-Кульская опытно-селекционная станция</w:t>
      </w:r>
      <w:r w:rsidR="00550FA4">
        <w:rPr>
          <w:rFonts w:ascii="Times New Roman" w:hAnsi="Times New Roman"/>
          <w:sz w:val="24"/>
          <w:szCs w:val="24"/>
          <w:lang w:val="ru-RU"/>
        </w:rPr>
        <w:t>»</w:t>
      </w:r>
      <w:r w:rsidRPr="005D1F5D">
        <w:rPr>
          <w:rFonts w:ascii="Times New Roman" w:hAnsi="Times New Roman"/>
          <w:sz w:val="24"/>
          <w:szCs w:val="24"/>
          <w:lang w:val="ru-RU"/>
        </w:rPr>
        <w:t xml:space="preserve"> при КНИИЗ с. 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Челпек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Ак-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Суйского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района Иссык-Кульской области. </w:t>
      </w:r>
    </w:p>
    <w:p w14:paraId="65B3125B" w14:textId="77777777" w:rsidR="005D1F5D" w:rsidRPr="005D1F5D" w:rsidRDefault="005D1F5D" w:rsidP="005D1F5D">
      <w:pPr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1F5D">
        <w:rPr>
          <w:rFonts w:ascii="Times New Roman" w:hAnsi="Times New Roman"/>
          <w:sz w:val="24"/>
          <w:szCs w:val="24"/>
          <w:lang w:val="ru-RU"/>
        </w:rPr>
        <w:t>ГУ «Региональное управление по Иссык-Кульской и Нарынской областям при ДЭСКС» с. Теплоключенка Ак-</w:t>
      </w:r>
      <w:proofErr w:type="spellStart"/>
      <w:r w:rsidRPr="005D1F5D">
        <w:rPr>
          <w:rFonts w:ascii="Times New Roman" w:hAnsi="Times New Roman"/>
          <w:sz w:val="24"/>
          <w:szCs w:val="24"/>
          <w:lang w:val="ru-RU"/>
        </w:rPr>
        <w:t>Суйского</w:t>
      </w:r>
      <w:proofErr w:type="spellEnd"/>
      <w:r w:rsidRPr="005D1F5D">
        <w:rPr>
          <w:rFonts w:ascii="Times New Roman" w:hAnsi="Times New Roman"/>
          <w:sz w:val="24"/>
          <w:szCs w:val="24"/>
          <w:lang w:val="ru-RU"/>
        </w:rPr>
        <w:t xml:space="preserve"> района Иссык-Кульской области.</w:t>
      </w:r>
    </w:p>
    <w:p w14:paraId="02F66A48" w14:textId="0138382B" w:rsidR="005D1F5D" w:rsidRPr="005D1F5D" w:rsidRDefault="005D1F5D" w:rsidP="005D1F5D">
      <w:pPr>
        <w:shd w:val="clear" w:color="auto" w:fill="FFFFFF"/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6FD8D2" w14:textId="451622C7" w:rsidR="008C5AAC" w:rsidRPr="0086049E" w:rsidRDefault="008C5AAC" w:rsidP="00BF7802">
      <w:pPr>
        <w:suppressAutoHyphens/>
        <w:spacing w:after="24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sz w:val="24"/>
          <w:szCs w:val="24"/>
          <w:lang w:val="ru-RU"/>
        </w:rPr>
        <w:t xml:space="preserve">Номер </w:t>
      </w:r>
      <w:r w:rsidR="005C0368">
        <w:rPr>
          <w:rFonts w:ascii="Times New Roman" w:hAnsi="Times New Roman"/>
          <w:b/>
          <w:sz w:val="24"/>
          <w:szCs w:val="24"/>
          <w:lang w:val="ru-RU"/>
        </w:rPr>
        <w:t>закупочного пакета</w:t>
      </w:r>
      <w:r w:rsidRPr="000C61B6">
        <w:rPr>
          <w:rFonts w:ascii="Times New Roman" w:hAnsi="Times New Roman"/>
          <w:b/>
          <w:sz w:val="24"/>
          <w:szCs w:val="24"/>
          <w:lang w:val="ru-RU"/>
        </w:rPr>
        <w:t>: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86049E" w:rsidRPr="0086049E">
        <w:rPr>
          <w:rFonts w:ascii="Times New Roman" w:hAnsi="Times New Roman"/>
          <w:sz w:val="24"/>
          <w:szCs w:val="24"/>
          <w:lang w:val="ru-RU"/>
        </w:rPr>
        <w:t>RACDP/CQS-3</w:t>
      </w:r>
    </w:p>
    <w:p w14:paraId="5FDA3A2A" w14:textId="1A6817AE" w:rsidR="00BF7802" w:rsidRPr="00BF7802" w:rsidRDefault="00BF7802" w:rsidP="00BF780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Hlk188965342"/>
      <w:r w:rsidRPr="00BF7802">
        <w:rPr>
          <w:rFonts w:ascii="Times New Roman" w:hAnsi="Times New Roman"/>
          <w:sz w:val="24"/>
          <w:szCs w:val="24"/>
          <w:lang w:val="ru-RU"/>
        </w:rPr>
        <w:t>Международная ассоциация развития (МАР) предоставила средства кредита и гранта Кыргызской Республике. Цель развития предлагаемого Проекта (ЦРП) заключается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802">
        <w:rPr>
          <w:rFonts w:ascii="Times New Roman" w:hAnsi="Times New Roman"/>
          <w:sz w:val="24"/>
          <w:szCs w:val="24"/>
          <w:lang w:val="ru-RU"/>
        </w:rPr>
        <w:t>повышении производительности и устойчивости к изменению климата отдельных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802">
        <w:rPr>
          <w:rFonts w:ascii="Times New Roman" w:hAnsi="Times New Roman"/>
          <w:sz w:val="24"/>
          <w:szCs w:val="24"/>
          <w:lang w:val="ru-RU"/>
        </w:rPr>
        <w:t>агропродовольственных кластеров.</w:t>
      </w:r>
    </w:p>
    <w:p w14:paraId="6DA6CC03" w14:textId="25A2E94A" w:rsidR="00BF7802" w:rsidRPr="00BF7802" w:rsidRDefault="00BF7802" w:rsidP="00BF780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7802">
        <w:rPr>
          <w:rFonts w:ascii="Times New Roman" w:hAnsi="Times New Roman"/>
          <w:sz w:val="24"/>
          <w:szCs w:val="24"/>
          <w:lang w:val="ru-RU"/>
        </w:rPr>
        <w:t>Проект окажет поддержку по развитию молочного и садоводческого кластеров в Чуйской,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802">
        <w:rPr>
          <w:rFonts w:ascii="Times New Roman" w:hAnsi="Times New Roman"/>
          <w:sz w:val="24"/>
          <w:szCs w:val="24"/>
          <w:lang w:val="ru-RU"/>
        </w:rPr>
        <w:t>Джалал-Абадской и Нарынской областях.</w:t>
      </w:r>
    </w:p>
    <w:p w14:paraId="5A0A36C2" w14:textId="7C800D5B" w:rsidR="00BF7802" w:rsidRPr="00BF7802" w:rsidRDefault="00BF7802" w:rsidP="00BF780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7802">
        <w:rPr>
          <w:rFonts w:ascii="Times New Roman" w:hAnsi="Times New Roman"/>
          <w:sz w:val="24"/>
          <w:szCs w:val="24"/>
          <w:lang w:val="ru-RU"/>
        </w:rPr>
        <w:t>Задачей проекта также является оказание содействия развитию системы семеноводства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802">
        <w:rPr>
          <w:rFonts w:ascii="Times New Roman" w:hAnsi="Times New Roman"/>
          <w:sz w:val="24"/>
          <w:szCs w:val="24"/>
          <w:lang w:val="ru-RU"/>
        </w:rPr>
        <w:t>племенного животноводства на национальном уровне.</w:t>
      </w:r>
    </w:p>
    <w:p w14:paraId="76B1AAF8" w14:textId="03AB69DA" w:rsidR="00BF7802" w:rsidRPr="00771146" w:rsidRDefault="00BF7802" w:rsidP="00BF7802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CDE626" w14:textId="646A0359" w:rsidR="006E7A58" w:rsidRPr="00DA6E2D" w:rsidRDefault="00771146" w:rsidP="005D1F5D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71146">
        <w:rPr>
          <w:rFonts w:ascii="Times New Roman" w:hAnsi="Times New Roman"/>
          <w:sz w:val="24"/>
          <w:szCs w:val="24"/>
          <w:lang w:val="ru-RU"/>
        </w:rPr>
        <w:t xml:space="preserve"> </w:t>
      </w:r>
    </w:p>
    <w:bookmarkEnd w:id="1"/>
    <w:p w14:paraId="6FD87EF0" w14:textId="039BB0A8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sz w:val="24"/>
          <w:szCs w:val="24"/>
          <w:lang w:val="ru-RU"/>
        </w:rPr>
        <w:t>Цели задания:</w:t>
      </w:r>
    </w:p>
    <w:p w14:paraId="3B5DD42A" w14:textId="266A59FC" w:rsidR="006E7A58" w:rsidRDefault="005D1F5D" w:rsidP="000C61B6">
      <w:pPr>
        <w:spacing w:line="276" w:lineRule="auto"/>
        <w:jc w:val="both"/>
        <w:rPr>
          <w:rFonts w:asciiTheme="minorHAnsi" w:eastAsia="Calibri" w:hAnsiTheme="minorHAnsi"/>
          <w:lang w:val="ru-RU"/>
        </w:rPr>
      </w:pPr>
      <w:r w:rsidRPr="005D1F5D">
        <w:rPr>
          <w:rFonts w:eastAsia="Calibri"/>
          <w:lang w:val="ru-RU"/>
        </w:rPr>
        <w:t>Целью задания является предоставление услуг по подготовке пакетов проектно-сметной документации (ПСД) на ремонтно-строительные и строительно-монтажные работы отобранных объектов: ГП «Кыргызгосплемзавод», ГП «Кыргызская опытно-селекционная станция по сахарной свекле» при КНИИЗ, ГУ «Региональное управление по Иссык-Кульской и Нарынской областям при ДЭСКС» и ГП «Иссык-Кульская опытно-селекционная станция» при КНИИЗ, и ведение авторского надзора в ходе строительных работ.</w:t>
      </w:r>
    </w:p>
    <w:p w14:paraId="590AEA71" w14:textId="12D0DF59" w:rsidR="005D1F5D" w:rsidRDefault="005D1F5D" w:rsidP="000C61B6">
      <w:pPr>
        <w:spacing w:line="276" w:lineRule="auto"/>
        <w:jc w:val="both"/>
        <w:rPr>
          <w:rFonts w:asciiTheme="minorHAnsi" w:eastAsia="Calibri" w:hAnsiTheme="minorHAnsi"/>
          <w:lang w:val="ru-RU"/>
        </w:rPr>
      </w:pPr>
    </w:p>
    <w:p w14:paraId="1C1E32E1" w14:textId="5DAF3263" w:rsidR="005D1F5D" w:rsidRPr="005D1F5D" w:rsidRDefault="005D1F5D" w:rsidP="005D1F5D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4"/>
          <w:lang w:val="ru-RU"/>
        </w:rPr>
      </w:pPr>
      <w:r w:rsidRPr="005D1F5D">
        <w:rPr>
          <w:rFonts w:eastAsia="Calibri"/>
          <w:lang w:val="ru-RU"/>
        </w:rPr>
        <w:t xml:space="preserve">Расчетная продолжительность услуг, которые должны быть оказаны Консультантом </w:t>
      </w:r>
      <w:r w:rsidRPr="005D1F5D">
        <w:rPr>
          <w:rFonts w:eastAsia="Calibri"/>
          <w:b/>
          <w:lang w:val="ru-RU"/>
        </w:rPr>
        <w:t>по части А</w:t>
      </w:r>
      <w:r w:rsidR="005C0368">
        <w:rPr>
          <w:rFonts w:asciiTheme="minorHAnsi" w:eastAsia="Calibri" w:hAnsiTheme="minorHAnsi"/>
          <w:b/>
          <w:lang w:val="ru-RU"/>
        </w:rPr>
        <w:t xml:space="preserve"> </w:t>
      </w:r>
      <w:r w:rsidR="005C0368" w:rsidRPr="005C0368">
        <w:rPr>
          <w:rFonts w:eastAsia="Calibri"/>
          <w:lang w:val="ru-RU"/>
        </w:rPr>
        <w:t>(подготовка ПСД)</w:t>
      </w:r>
      <w:r w:rsidRPr="005D1F5D">
        <w:rPr>
          <w:rFonts w:eastAsia="Calibri"/>
          <w:lang w:val="ru-RU"/>
        </w:rPr>
        <w:t xml:space="preserve">, составляет </w:t>
      </w:r>
      <w:r w:rsidRPr="005D1F5D">
        <w:rPr>
          <w:rFonts w:eastAsia="Calibri"/>
          <w:b/>
          <w:bCs/>
          <w:u w:val="single"/>
          <w:lang w:val="ru-RU"/>
        </w:rPr>
        <w:t xml:space="preserve">4 месяца </w:t>
      </w:r>
      <w:r w:rsidRPr="005D1F5D">
        <w:rPr>
          <w:rFonts w:eastAsia="Calibri"/>
          <w:bCs/>
          <w:lang w:val="ru-RU"/>
        </w:rPr>
        <w:t>с учетом процедур согласования с государственными органами.</w:t>
      </w:r>
    </w:p>
    <w:p w14:paraId="4D929583" w14:textId="77777777" w:rsidR="005D1F5D" w:rsidRPr="005D1F5D" w:rsidRDefault="005D1F5D" w:rsidP="005D1F5D">
      <w:pPr>
        <w:autoSpaceDE w:val="0"/>
        <w:autoSpaceDN w:val="0"/>
        <w:adjustRightInd w:val="0"/>
        <w:jc w:val="both"/>
        <w:rPr>
          <w:rFonts w:eastAsia="Calibri"/>
          <w:bCs/>
          <w:lang w:val="ru-RU"/>
        </w:rPr>
      </w:pPr>
    </w:p>
    <w:p w14:paraId="0B7EB023" w14:textId="56C2D4FF" w:rsidR="005D1F5D" w:rsidRPr="005D1F5D" w:rsidRDefault="005D1F5D" w:rsidP="005D1F5D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5D1F5D">
        <w:rPr>
          <w:rFonts w:eastAsia="Calibri"/>
          <w:b/>
          <w:lang w:val="ru-RU"/>
        </w:rPr>
        <w:t>По части В</w:t>
      </w:r>
      <w:r w:rsidRPr="005D1F5D">
        <w:rPr>
          <w:rFonts w:eastAsia="Calibri"/>
          <w:lang w:val="ru-RU"/>
        </w:rPr>
        <w:t xml:space="preserve"> </w:t>
      </w:r>
      <w:r w:rsidR="005C0368" w:rsidRPr="005C0368">
        <w:rPr>
          <w:rFonts w:eastAsia="Calibri"/>
          <w:lang w:val="ru-RU"/>
        </w:rPr>
        <w:t xml:space="preserve">(авторский надзор) </w:t>
      </w:r>
      <w:r w:rsidRPr="005D1F5D">
        <w:rPr>
          <w:rFonts w:eastAsia="Calibri"/>
          <w:lang w:val="ru-RU"/>
        </w:rPr>
        <w:t>продолжительность задания определяется после подписания контрактов на строительство с соответствующими фирмами и зависит от продолжительности строительно-монтажных работ.</w:t>
      </w:r>
    </w:p>
    <w:p w14:paraId="72151B31" w14:textId="77777777" w:rsidR="005D1F5D" w:rsidRPr="005D1F5D" w:rsidRDefault="005D1F5D" w:rsidP="000C61B6">
      <w:pPr>
        <w:spacing w:line="276" w:lineRule="auto"/>
        <w:jc w:val="both"/>
        <w:rPr>
          <w:rFonts w:asciiTheme="minorHAnsi" w:eastAsia="Calibri" w:hAnsiTheme="minorHAnsi"/>
          <w:lang w:val="ru-RU"/>
        </w:rPr>
      </w:pPr>
    </w:p>
    <w:p w14:paraId="4A2E4692" w14:textId="141B3D22" w:rsidR="008C5AAC" w:rsidRPr="000C61B6" w:rsidRDefault="008C5AAC" w:rsidP="000C61B6">
      <w:pPr>
        <w:suppressAutoHyphens/>
        <w:spacing w:line="276" w:lineRule="auto"/>
        <w:jc w:val="both"/>
        <w:rPr>
          <w:rFonts w:ascii="Times New Roman" w:hAnsi="Times New Roman"/>
          <w:i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 xml:space="preserve">Подробное техническое задание (ТЗ): </w:t>
      </w:r>
      <w:r w:rsidRPr="000C61B6">
        <w:rPr>
          <w:rFonts w:ascii="Times New Roman" w:hAnsi="Times New Roman"/>
          <w:i/>
          <w:spacing w:val="-2"/>
          <w:sz w:val="24"/>
          <w:szCs w:val="24"/>
          <w:lang w:val="ru-RU"/>
        </w:rPr>
        <w:t>прилагается к настоящему запросу на выражение заинтересованности.</w:t>
      </w:r>
    </w:p>
    <w:p w14:paraId="5FF2C2E7" w14:textId="6DA6FE54" w:rsidR="008C5AAC" w:rsidRPr="000C61B6" w:rsidRDefault="008C5AAC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Центр конкурентоспособности агробизнеса предлагает правомочным консалтинговым фирмам («Консультантам») выразить свою заинтересованность в предоставлении Услуг. Заинтересованные Консультанты должны предоставить информацию, демонстрирующую, что они обладают необходимой квалификацией и соответствующим опытом для оказания Услуг. </w:t>
      </w:r>
    </w:p>
    <w:p w14:paraId="3A77C916" w14:textId="206A327A" w:rsidR="006E7A58" w:rsidRPr="00DA6E2D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2F72C93B" w14:textId="77777777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bCs/>
          <w:sz w:val="24"/>
          <w:szCs w:val="24"/>
          <w:lang w:val="ru-RU"/>
        </w:rPr>
        <w:t>Для включения в короткий список, консультационная компания должна соответствовать следующим квалификационным требованиям:</w:t>
      </w:r>
    </w:p>
    <w:p w14:paraId="11792A23" w14:textId="77777777" w:rsidR="004C5CBC" w:rsidRPr="004C5CBC" w:rsidRDefault="004C5CBC" w:rsidP="004C5C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ru-RU"/>
        </w:rPr>
      </w:pPr>
      <w:r w:rsidRPr="004C5CBC">
        <w:rPr>
          <w:bCs/>
          <w:lang w:val="ru-RU"/>
        </w:rPr>
        <w:t xml:space="preserve">Консультационная </w:t>
      </w:r>
      <w:r w:rsidRPr="004C5CBC">
        <w:rPr>
          <w:lang w:val="ru-RU"/>
        </w:rPr>
        <w:t>компания должна соответствовать следующим минимальным требованиям:</w:t>
      </w:r>
    </w:p>
    <w:p w14:paraId="70524AD1" w14:textId="77777777" w:rsidR="004C5CBC" w:rsidRPr="004C5CBC" w:rsidRDefault="004C5CBC" w:rsidP="004C5CBC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200D266B" w14:textId="77777777" w:rsidR="004C5CBC" w:rsidRDefault="004C5CBC" w:rsidP="004C5CBC">
      <w:pPr>
        <w:pStyle w:val="af6"/>
        <w:numPr>
          <w:ilvl w:val="0"/>
          <w:numId w:val="14"/>
        </w:numPr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Наличие свидетельства о юридической регистрации в КР (приложить копию);</w:t>
      </w:r>
    </w:p>
    <w:p w14:paraId="74F825CA" w14:textId="77777777" w:rsidR="004C5CBC" w:rsidRDefault="004C5CBC" w:rsidP="004C5CBC">
      <w:pPr>
        <w:pStyle w:val="af6"/>
        <w:numPr>
          <w:ilvl w:val="0"/>
          <w:numId w:val="14"/>
        </w:numPr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Наличие опыта работы в выполнении как минимум 5 контрактов в области разработки проектно-сметной документации жилых, общественных, социальных и производственных объектов (общей площадью не менее 2000 м. кв.)  за последние 3 года (приложить описание последних контрактов с контактными данными заказчиков);</w:t>
      </w:r>
    </w:p>
    <w:p w14:paraId="0ABB3031" w14:textId="77777777" w:rsidR="004C5CBC" w:rsidRDefault="004C5CBC" w:rsidP="004C5CBC">
      <w:pPr>
        <w:pStyle w:val="af6"/>
        <w:numPr>
          <w:ilvl w:val="0"/>
          <w:numId w:val="14"/>
        </w:numPr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Наличие действующей лицензии III уровня ответственности на осуществление </w:t>
      </w:r>
      <w:r>
        <w:rPr>
          <w:rFonts w:ascii="Times New Roman" w:hAnsi="Times New Roman"/>
          <w:sz w:val="24"/>
          <w:szCs w:val="24"/>
        </w:rPr>
        <w:t xml:space="preserve">проектно-сметной документации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(приложить копию) на следующий перечень работ:</w:t>
      </w:r>
    </w:p>
    <w:p w14:paraId="4A347F9F" w14:textId="77777777" w:rsidR="004C5CBC" w:rsidRPr="004C5CBC" w:rsidRDefault="004C5CBC" w:rsidP="004C5CBC">
      <w:pPr>
        <w:tabs>
          <w:tab w:val="left" w:pos="1350"/>
        </w:tabs>
        <w:suppressAutoHyphens/>
        <w:overflowPunct w:val="0"/>
        <w:ind w:left="720"/>
        <w:contextualSpacing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</w:p>
    <w:p w14:paraId="5B10DCF6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Градостроительные и проектно-изыскательские работы. </w:t>
      </w:r>
    </w:p>
    <w:p w14:paraId="30F9C048" w14:textId="77777777" w:rsidR="004C5CBC" w:rsidRDefault="004C5CBC" w:rsidP="004C5CBC">
      <w:pPr>
        <w:pStyle w:val="af6"/>
        <w:numPr>
          <w:ilvl w:val="0"/>
          <w:numId w:val="16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Разработка градостроительной документации объектов.</w:t>
      </w:r>
    </w:p>
    <w:p w14:paraId="785247BF" w14:textId="77777777" w:rsidR="004C5CBC" w:rsidRDefault="004C5CBC" w:rsidP="004C5CBC">
      <w:pPr>
        <w:pStyle w:val="af6"/>
        <w:numPr>
          <w:ilvl w:val="0"/>
          <w:numId w:val="16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Архитектурное проектирование объектов.</w:t>
      </w:r>
    </w:p>
    <w:p w14:paraId="07975011" w14:textId="77777777" w:rsidR="004C5CBC" w:rsidRDefault="004C5CBC" w:rsidP="004C5CBC">
      <w:pPr>
        <w:pStyle w:val="af6"/>
        <w:numPr>
          <w:ilvl w:val="0"/>
          <w:numId w:val="16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Жилые дома, общественные здания и сооружения, объекты производственного назначения.</w:t>
      </w:r>
    </w:p>
    <w:p w14:paraId="11B62B03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Строительное проектирование и конструирование. </w:t>
      </w:r>
    </w:p>
    <w:p w14:paraId="149CCAAA" w14:textId="77777777" w:rsidR="004C5CBC" w:rsidRDefault="004C5CBC" w:rsidP="004C5CBC">
      <w:pPr>
        <w:pStyle w:val="af6"/>
        <w:numPr>
          <w:ilvl w:val="0"/>
          <w:numId w:val="17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Жилые дома, общественные здания и сооружения, объекты производственного назначения.</w:t>
      </w:r>
    </w:p>
    <w:p w14:paraId="5E17948D" w14:textId="77777777" w:rsidR="004C5CBC" w:rsidRDefault="004C5CBC" w:rsidP="004C5CBC">
      <w:pPr>
        <w:pStyle w:val="af6"/>
        <w:numPr>
          <w:ilvl w:val="0"/>
          <w:numId w:val="17"/>
        </w:numPr>
        <w:tabs>
          <w:tab w:val="left" w:pos="1134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Обследование технического состояния конструкций, зданий и сооружений (оперативное обследование конструкций, зданий и сооружений с оценкой их фактического состояния и выдачей заключения о возможности дальнейшей эксплуатации и возможности реконструкции несущих конструкций).</w:t>
      </w:r>
    </w:p>
    <w:p w14:paraId="3A5EAD39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Проектирование инженерных систем сетей и сооружений.</w:t>
      </w:r>
    </w:p>
    <w:p w14:paraId="5D28262B" w14:textId="77777777" w:rsidR="004C5CBC" w:rsidRDefault="004C5CBC" w:rsidP="004C5CBC">
      <w:pPr>
        <w:pStyle w:val="af6"/>
        <w:numPr>
          <w:ilvl w:val="0"/>
          <w:numId w:val="18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Проектирование внутренних и наружных систем, сетей и сооружений</w:t>
      </w:r>
    </w:p>
    <w:p w14:paraId="684D1DE1" w14:textId="77777777" w:rsidR="004C5CBC" w:rsidRDefault="004C5CBC" w:rsidP="004C5CBC">
      <w:pPr>
        <w:pStyle w:val="af6"/>
        <w:numPr>
          <w:ilvl w:val="0"/>
          <w:numId w:val="18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Трансформаторные подстанции, линии электропередач, электроснабжение (10кВ).</w:t>
      </w:r>
    </w:p>
    <w:p w14:paraId="71802DE8" w14:textId="77777777" w:rsidR="004C5CBC" w:rsidRDefault="004C5CBC" w:rsidP="004C5CBC">
      <w:pPr>
        <w:pStyle w:val="af6"/>
        <w:numPr>
          <w:ilvl w:val="0"/>
          <w:numId w:val="18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Водоснабжение и канализация.</w:t>
      </w:r>
    </w:p>
    <w:p w14:paraId="626B66DE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Разработка специальных разделов проектов. </w:t>
      </w:r>
    </w:p>
    <w:p w14:paraId="4D5634CE" w14:textId="77777777" w:rsidR="004C5CBC" w:rsidRDefault="004C5CBC" w:rsidP="004C5CBC">
      <w:pPr>
        <w:pStyle w:val="af6"/>
        <w:numPr>
          <w:ilvl w:val="0"/>
          <w:numId w:val="19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Сметы.</w:t>
      </w:r>
    </w:p>
    <w:p w14:paraId="7F349AB9" w14:textId="77777777" w:rsidR="004C5CBC" w:rsidRDefault="004C5CBC" w:rsidP="004C5CBC">
      <w:pPr>
        <w:pStyle w:val="af6"/>
        <w:numPr>
          <w:ilvl w:val="0"/>
          <w:numId w:val="19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Охрана окружающие среды.</w:t>
      </w:r>
    </w:p>
    <w:p w14:paraId="20BB888D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Инженерные изыскания. </w:t>
      </w:r>
    </w:p>
    <w:p w14:paraId="55724DB5" w14:textId="77777777" w:rsidR="004C5CBC" w:rsidRDefault="004C5CBC" w:rsidP="004C5CBC">
      <w:pPr>
        <w:pStyle w:val="af6"/>
        <w:numPr>
          <w:ilvl w:val="0"/>
          <w:numId w:val="20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Инженерно-геодезические изыскания</w:t>
      </w:r>
    </w:p>
    <w:p w14:paraId="1D1BF358" w14:textId="77777777" w:rsidR="004C5CBC" w:rsidRDefault="004C5CBC" w:rsidP="004C5CBC">
      <w:pPr>
        <w:pStyle w:val="af6"/>
        <w:numPr>
          <w:ilvl w:val="0"/>
          <w:numId w:val="20"/>
        </w:numPr>
        <w:tabs>
          <w:tab w:val="left" w:pos="1276"/>
        </w:tabs>
        <w:suppressAutoHyphens/>
        <w:overflowPunct w:val="0"/>
        <w:spacing w:after="0" w:line="240" w:lineRule="auto"/>
        <w:ind w:left="1134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Инженерно-гидрогеологические изыскания</w:t>
      </w:r>
    </w:p>
    <w:p w14:paraId="19086120" w14:textId="77777777" w:rsidR="004C5CBC" w:rsidRDefault="004C5CBC" w:rsidP="004C5CBC">
      <w:pPr>
        <w:pStyle w:val="af6"/>
        <w:numPr>
          <w:ilvl w:val="0"/>
          <w:numId w:val="15"/>
        </w:numPr>
        <w:tabs>
          <w:tab w:val="left" w:pos="567"/>
          <w:tab w:val="left" w:pos="993"/>
        </w:tabs>
        <w:suppressAutoHyphens/>
        <w:overflowPunct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Осуществление функции генерального проектировщика.</w:t>
      </w:r>
    </w:p>
    <w:p w14:paraId="7182DA98" w14:textId="77777777" w:rsidR="004C5CBC" w:rsidRDefault="004C5CBC" w:rsidP="004C5CBC">
      <w:pPr>
        <w:pStyle w:val="af6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right="284"/>
        <w:jc w:val="both"/>
        <w:rPr>
          <w:rFonts w:ascii="Times New Roman" w:eastAsia="Calibri" w:hAnsi="Times New Roman"/>
          <w:sz w:val="24"/>
          <w:szCs w:val="24"/>
        </w:rPr>
      </w:pPr>
    </w:p>
    <w:p w14:paraId="4408EE7B" w14:textId="25B1C8DD" w:rsidR="004C5CBC" w:rsidRDefault="004C5CBC" w:rsidP="004C5CBC">
      <w:pPr>
        <w:pStyle w:val="af6"/>
        <w:numPr>
          <w:ilvl w:val="0"/>
          <w:numId w:val="14"/>
        </w:numPr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Ведение авторского надзора как минимум в 2 завершенных проектах.</w:t>
      </w:r>
    </w:p>
    <w:p w14:paraId="30739A81" w14:textId="77777777" w:rsidR="004C5CBC" w:rsidRDefault="004C5CBC" w:rsidP="004C5CBC">
      <w:pPr>
        <w:pStyle w:val="af6"/>
        <w:tabs>
          <w:tab w:val="left" w:pos="1350"/>
        </w:tabs>
        <w:suppressAutoHyphens/>
        <w:overflowPunct w:val="0"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14:paraId="06D2697A" w14:textId="067DD27D" w:rsidR="006E7A58" w:rsidRPr="000C61B6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Заинтересованные Консультанты должны обращать внимание на параграфы 3.14, 3.16 и 3.17 Раздела </w:t>
      </w:r>
      <w:r w:rsidRPr="000C61B6">
        <w:rPr>
          <w:rFonts w:ascii="Times New Roman" w:hAnsi="Times New Roman"/>
          <w:spacing w:val="-2"/>
          <w:sz w:val="24"/>
          <w:szCs w:val="24"/>
        </w:rPr>
        <w:t>III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«Положений о закупках для заемщиков </w:t>
      </w:r>
      <w:r w:rsidRPr="000C61B6">
        <w:rPr>
          <w:rFonts w:ascii="Times New Roman" w:hAnsi="Times New Roman"/>
          <w:spacing w:val="-2"/>
          <w:sz w:val="24"/>
          <w:szCs w:val="24"/>
        </w:rPr>
        <w:t>IPF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» от июля 2016 года («Положения о 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>закупках») Всемирного банка, в которых излагается политика Всемирного банка в отношении конфликта интересов. Кроме того, просим ссылаться на следующую конкретную информацию о конфликте интересов, связанной с настоящим заданием:</w:t>
      </w:r>
    </w:p>
    <w:p w14:paraId="512525E4" w14:textId="77777777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Консультанты не должны будут наняты для выполнения каких-либо заданий, которые противоречили бы их предыдущим или текущим обязательствам перед другими заказчиками или которые могут поставить их в положение, когда они не могут выполнить задание в наилучших интересах Заемщика. Без ограничения общего характера вышеизложенного, Консультанты не могут быть наняты при обстоятельствах, изложенных ниже:</w:t>
      </w:r>
    </w:p>
    <w:p w14:paraId="341A099D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 xml:space="preserve">фирма, привлеченная Заемщиком для предоставления товаров, работ или неконсультационных услуг для проекта (или аффилированное лицо, которое прямо или косвенно контролирует, контролируется или находится под общим контролем с этой фирмой), должна быть дисквалифицирована от предоставления Консультационных услуг, являющихся результатом этих товаров, работ или неконсультационных услуг, или непосредственно связанных с ними. Это положение не распространяется на различные фирмы (консультанты, подрядчики или поставщики), которые вместе выполняют обязательства подрядчика по контракту «под ключ» или контракту на проектирование и строительство; </w:t>
      </w:r>
    </w:p>
    <w:p w14:paraId="65EF8D5F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фирма, привлеченная Заемщиком для оказания консультационных услуг для подготовки или реализации проекта (или аффилированное лицо, которое прямо или косвенно контролирует, контролируется или находится под общим контролем с этой консалтинговой фирмой), должна быть дисквалифицирована от последующего предоставления товаров, работ или неконсультационных услуг, являющихся результатом или непосредственно связанных с этими консультационными услугами. Это положение не распространяется на различные фирмы (консультанты, подрядчики или поставщики), которые вместе выполняют обязательства подрядчика по контракту «под ключ» или контракту на проектирование и строительство;</w:t>
      </w:r>
    </w:p>
    <w:p w14:paraId="320F5E56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ни Консультант (включая персонал и субконсультантов), ни аффилированное лицо (которое прямо или косвенно контролирует, контролируется или находится под общим контролем с этим Консультантом) не должны быть наняты для выполнения каких-либо заданий, которые по своему характеру создают конфликт интересов с другим заданием Консультанта;</w:t>
      </w:r>
    </w:p>
    <w:p w14:paraId="12A2E781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 xml:space="preserve">Консультанты (включая их экспертов и другого персонала, а также </w:t>
      </w:r>
      <w:proofErr w:type="spellStart"/>
      <w:r w:rsidRPr="000C61B6">
        <w:rPr>
          <w:rFonts w:ascii="Times New Roman" w:hAnsi="Times New Roman"/>
          <w:sz w:val="24"/>
          <w:szCs w:val="24"/>
          <w:lang w:val="ru-RU"/>
        </w:rPr>
        <w:t>суб</w:t>
      </w:r>
      <w:proofErr w:type="spellEnd"/>
      <w:r w:rsidRPr="000C61B6">
        <w:rPr>
          <w:rFonts w:ascii="Times New Roman" w:hAnsi="Times New Roman"/>
          <w:sz w:val="24"/>
          <w:szCs w:val="24"/>
          <w:lang w:val="ru-RU"/>
        </w:rPr>
        <w:t>-консультантов), которые имеют тесные деловые или семейные отношения с профессиональным персоналом Заемщика, или агентством, реализующим проект, или получателем части финансирования Банка, или любой другой стороной, представляющей или действующей от имени Заемщика, которая прямо или косвенно участвует в любой части:</w:t>
      </w:r>
    </w:p>
    <w:p w14:paraId="7944C0E8" w14:textId="77777777" w:rsidR="006E7A58" w:rsidRPr="000C61B6" w:rsidRDefault="006E7A58" w:rsidP="000C61B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подготовки ТЗ на выполнение задания;</w:t>
      </w:r>
    </w:p>
    <w:p w14:paraId="5DA98EF9" w14:textId="77777777" w:rsidR="006E7A58" w:rsidRPr="00442B89" w:rsidRDefault="006E7A58" w:rsidP="000C61B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42B89">
        <w:rPr>
          <w:rFonts w:ascii="Times New Roman" w:hAnsi="Times New Roman"/>
          <w:sz w:val="24"/>
          <w:szCs w:val="24"/>
          <w:lang w:val="ru-RU"/>
        </w:rPr>
        <w:t xml:space="preserve">процесса выбора контракта; или </w:t>
      </w:r>
    </w:p>
    <w:p w14:paraId="4CDEC8B0" w14:textId="77777777" w:rsidR="006E7A58" w:rsidRPr="000C61B6" w:rsidRDefault="006E7A58" w:rsidP="00FF6C21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1B6">
        <w:rPr>
          <w:rFonts w:ascii="Times New Roman" w:hAnsi="Times New Roman" w:cs="Times New Roman"/>
          <w:sz w:val="24"/>
          <w:szCs w:val="24"/>
        </w:rPr>
        <w:t>надзора за контрактом, не могут быть присуждены контрактом, если конфликт, проистекающий из этих отношений, не был разрешен приемлемым для Банка способом на протяжении всего процесса выбора и исполнения контракта.</w:t>
      </w:r>
    </w:p>
    <w:p w14:paraId="5833F84C" w14:textId="6C9359F3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>Консультанты могут сотрудничать с другими фирмами для повышения своей квалификации, но должны четко указывать, является ли ассоциация совместным предприятием и / или субконсультантом. В случае если отобран</w:t>
      </w:r>
      <w:r w:rsidR="004C5CBC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совместное предприятие, все партнеры в совместном предприятии несут солидарную ответственность за весь контракт</w:t>
      </w:r>
      <w:r w:rsidRPr="000C61B6">
        <w:rPr>
          <w:rFonts w:ascii="Times New Roman" w:hAnsi="Times New Roman"/>
          <w:sz w:val="24"/>
          <w:szCs w:val="24"/>
          <w:lang w:val="ru-RU"/>
        </w:rPr>
        <w:t>.</w:t>
      </w:r>
    </w:p>
    <w:p w14:paraId="5CC973CB" w14:textId="77777777" w:rsidR="006E7A58" w:rsidRPr="00DA6E2D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376C1A13" w14:textId="7BA176F0" w:rsidR="006E7A58" w:rsidRPr="000C61B6" w:rsidRDefault="006E7A58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Консультант будет отобран в соответствии с методом </w:t>
      </w:r>
      <w:r w:rsidR="00442B89">
        <w:rPr>
          <w:rFonts w:ascii="Times New Roman" w:hAnsi="Times New Roman"/>
          <w:spacing w:val="-2"/>
          <w:sz w:val="24"/>
          <w:szCs w:val="24"/>
          <w:lang w:val="ru-RU"/>
        </w:rPr>
        <w:t>ОКК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(</w:t>
      </w:r>
      <w:r w:rsidR="00442B89" w:rsidRPr="00442B89">
        <w:rPr>
          <w:rFonts w:ascii="Times New Roman" w:hAnsi="Times New Roman"/>
          <w:spacing w:val="-2"/>
          <w:sz w:val="24"/>
          <w:szCs w:val="24"/>
          <w:lang w:val="ru-RU"/>
        </w:rPr>
        <w:t>Отбор на основании квалификации консультантов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), изложенным в Положении о закупках.</w:t>
      </w:r>
    </w:p>
    <w:p w14:paraId="3502033C" w14:textId="371104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2942E20D" w14:textId="7C5CCF64" w:rsidR="007B2B6F" w:rsidRPr="000C61B6" w:rsidRDefault="007B2B6F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bookmarkStart w:id="2" w:name="_GoBack"/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Дополнительную информацию можно получить по указанному ниже адресу в рабочее время с 08:30 до 17:30 (время местное)</w:t>
      </w:r>
      <w:r w:rsidR="00442B89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14:paraId="05E6E19F" w14:textId="777777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bookmarkEnd w:id="2"/>
    <w:p w14:paraId="056A3C86" w14:textId="052B6011" w:rsidR="007B2B6F" w:rsidRPr="005C0368" w:rsidRDefault="007B2B6F" w:rsidP="00FF6C21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Выражения заинтересованности должны быть доставлены в письменной форме по указанному ниже адресу (лично, по почте или по электронной почте) </w:t>
      </w:r>
      <w:r w:rsidR="00331873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до 1</w:t>
      </w:r>
      <w:r w:rsidR="006A7389" w:rsidRPr="006A7389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6</w:t>
      </w:r>
      <w:r w:rsidR="00331873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:00 </w:t>
      </w:r>
      <w:r w:rsidR="006E7A58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(местное время) </w:t>
      </w:r>
      <w:r w:rsidR="00331873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часов </w:t>
      </w:r>
      <w:r w:rsidR="00FD1832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br/>
      </w:r>
      <w:r w:rsidR="003D0527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1</w:t>
      </w:r>
      <w:r w:rsidR="006A7389" w:rsidRPr="006A7389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1</w:t>
      </w:r>
      <w:r w:rsidR="004C5CBC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 ию</w:t>
      </w:r>
      <w:r w:rsidR="006A7389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л</w:t>
      </w:r>
      <w:r w:rsidR="004C5CBC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я</w:t>
      </w:r>
      <w:r w:rsidR="00D15FD9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 2025</w:t>
      </w:r>
      <w:r w:rsidR="00331873"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 года</w:t>
      </w:r>
      <w:r w:rsidRPr="005C0368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.</w:t>
      </w:r>
    </w:p>
    <w:p w14:paraId="57A09727" w14:textId="777777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46D38F08" w14:textId="77777777" w:rsidR="007B2B6F" w:rsidRPr="000C61B6" w:rsidRDefault="007B2B6F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Центр конкурентоспособности агробизнеса</w:t>
      </w:r>
    </w:p>
    <w:p w14:paraId="3D22F3E8" w14:textId="14E3EE8D" w:rsidR="007B2B6F" w:rsidRPr="000C61B6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Кыргызская Республика, 720040, г. Бишкек, пр. Чуй, 114, </w:t>
      </w:r>
      <w:r w:rsidR="005C0368">
        <w:rPr>
          <w:rFonts w:ascii="Times New Roman" w:hAnsi="Times New Roman"/>
          <w:spacing w:val="-2"/>
          <w:sz w:val="24"/>
          <w:szCs w:val="24"/>
          <w:lang w:val="ru-RU"/>
        </w:rPr>
        <w:t>кабинет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306</w:t>
      </w:r>
    </w:p>
    <w:p w14:paraId="00F3E87F" w14:textId="07436108" w:rsidR="007B2B6F" w:rsidRPr="000C61B6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Телефон: +996</w:t>
      </w:r>
      <w:r w:rsidR="00550FA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(312) 623904</w:t>
      </w:r>
    </w:p>
    <w:p w14:paraId="78AE87B3" w14:textId="1F78AAC0" w:rsidR="007B2B6F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</w:rPr>
        <w:t>E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-</w:t>
      </w:r>
      <w:r w:rsidRPr="000C61B6">
        <w:rPr>
          <w:rFonts w:ascii="Times New Roman" w:hAnsi="Times New Roman"/>
          <w:spacing w:val="-2"/>
          <w:sz w:val="24"/>
          <w:szCs w:val="24"/>
          <w:lang w:val="ky-KG"/>
        </w:rPr>
        <w:t>почта</w:t>
      </w:r>
      <w:r w:rsidRPr="005C0368">
        <w:rPr>
          <w:rFonts w:ascii="Times New Roman" w:hAnsi="Times New Roman"/>
          <w:spacing w:val="-2"/>
          <w:sz w:val="24"/>
          <w:szCs w:val="24"/>
          <w:lang w:val="ru-RU"/>
        </w:rPr>
        <w:t xml:space="preserve">: </w:t>
      </w:r>
      <w:hyperlink r:id="rId8" w:history="1"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</w:rPr>
          <w:t>tender</w:t>
        </w:r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  <w:lang w:val="ru-RU"/>
          </w:rPr>
          <w:t>@</w:t>
        </w:r>
        <w:proofErr w:type="spellStart"/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</w:rPr>
          <w:t>agromarket</w:t>
        </w:r>
        <w:proofErr w:type="spellEnd"/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  <w:lang w:val="ru-RU"/>
          </w:rPr>
          <w:t>.</w:t>
        </w:r>
        <w:r w:rsidR="00FF6C21" w:rsidRPr="005C0368">
          <w:rPr>
            <w:rStyle w:val="ad"/>
            <w:rFonts w:ascii="Times New Roman" w:hAnsi="Times New Roman"/>
            <w:spacing w:val="-2"/>
            <w:sz w:val="24"/>
            <w:szCs w:val="24"/>
          </w:rPr>
          <w:t>kg</w:t>
        </w:r>
      </w:hyperlink>
      <w:r w:rsidR="00FF6C21" w:rsidRPr="005C0368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14:paraId="733B426B" w14:textId="77777777" w:rsidR="005C0368" w:rsidRPr="005C0368" w:rsidRDefault="005C036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sectPr w:rsidR="005C0368" w:rsidRPr="005C0368" w:rsidSect="00DA6E2D">
      <w:headerReference w:type="default" r:id="rId9"/>
      <w:endnotePr>
        <w:numFmt w:val="decimal"/>
      </w:endnotePr>
      <w:pgSz w:w="12240" w:h="15840"/>
      <w:pgMar w:top="993" w:right="900" w:bottom="993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C545D" w14:textId="77777777" w:rsidR="006C7CAE" w:rsidRDefault="006C7CAE">
      <w:r>
        <w:separator/>
      </w:r>
    </w:p>
  </w:endnote>
  <w:endnote w:type="continuationSeparator" w:id="0">
    <w:p w14:paraId="53D453BE" w14:textId="77777777" w:rsidR="006C7CAE" w:rsidRDefault="006C7CAE">
      <w:r>
        <w:rPr>
          <w:sz w:val="24"/>
        </w:rPr>
        <w:t xml:space="preserve"> </w:t>
      </w:r>
    </w:p>
  </w:endnote>
  <w:endnote w:type="continuationNotice" w:id="1">
    <w:p w14:paraId="1B3F0620" w14:textId="77777777" w:rsidR="006C7CAE" w:rsidRDefault="006C7CA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2CA7" w14:textId="77777777" w:rsidR="006C7CAE" w:rsidRDefault="006C7CAE">
      <w:r>
        <w:rPr>
          <w:sz w:val="24"/>
        </w:rPr>
        <w:separator/>
      </w:r>
    </w:p>
  </w:footnote>
  <w:footnote w:type="continuationSeparator" w:id="0">
    <w:p w14:paraId="0F939604" w14:textId="77777777" w:rsidR="006C7CAE" w:rsidRDefault="006C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MON_1799578261"/>
  <w:bookmarkEnd w:id="3"/>
  <w:p w14:paraId="61BE5ACC" w14:textId="52E209E1" w:rsidR="009830E4" w:rsidRDefault="0042379E">
    <w:pPr>
      <w:spacing w:after="140" w:line="100" w:lineRule="exact"/>
      <w:rPr>
        <w:sz w:val="10"/>
      </w:rPr>
    </w:pPr>
    <w:r>
      <w:rPr>
        <w:sz w:val="10"/>
      </w:rPr>
      <w:object w:dxaOrig="9540" w:dyaOrig="13319" w14:anchorId="44A1E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pt;height:666pt">
          <v:imagedata r:id="rId1" o:title=""/>
        </v:shape>
        <o:OLEObject Type="Embed" ProgID="Word.Document.12" ShapeID="_x0000_i1025" DrawAspect="Content" ObjectID="_181281072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FE2"/>
    <w:multiLevelType w:val="hybridMultilevel"/>
    <w:tmpl w:val="8DFC9A9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5DD"/>
    <w:multiLevelType w:val="hybridMultilevel"/>
    <w:tmpl w:val="BF2A2656"/>
    <w:lvl w:ilvl="0" w:tplc="783897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2EF"/>
    <w:multiLevelType w:val="hybridMultilevel"/>
    <w:tmpl w:val="293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45B0"/>
    <w:multiLevelType w:val="hybridMultilevel"/>
    <w:tmpl w:val="1BCCAB8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BD5226"/>
    <w:multiLevelType w:val="hybridMultilevel"/>
    <w:tmpl w:val="D2FCB666"/>
    <w:lvl w:ilvl="0" w:tplc="F5545B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A1232C"/>
    <w:multiLevelType w:val="hybridMultilevel"/>
    <w:tmpl w:val="071A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4241"/>
    <w:multiLevelType w:val="hybridMultilevel"/>
    <w:tmpl w:val="F3E2D2D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E55C77"/>
    <w:multiLevelType w:val="hybridMultilevel"/>
    <w:tmpl w:val="FBD8150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CB13F7"/>
    <w:multiLevelType w:val="hybridMultilevel"/>
    <w:tmpl w:val="AC1A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120DF"/>
    <w:multiLevelType w:val="hybridMultilevel"/>
    <w:tmpl w:val="EE14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628F"/>
    <w:multiLevelType w:val="hybridMultilevel"/>
    <w:tmpl w:val="83DA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812C1"/>
    <w:multiLevelType w:val="hybridMultilevel"/>
    <w:tmpl w:val="CDE6968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961C46"/>
    <w:multiLevelType w:val="hybridMultilevel"/>
    <w:tmpl w:val="A6D0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465EC"/>
    <w:multiLevelType w:val="hybridMultilevel"/>
    <w:tmpl w:val="0D4ED85A"/>
    <w:lvl w:ilvl="0" w:tplc="9E3284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6BC4"/>
    <w:multiLevelType w:val="hybridMultilevel"/>
    <w:tmpl w:val="FBE6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F0795"/>
    <w:multiLevelType w:val="hybridMultilevel"/>
    <w:tmpl w:val="D15C2D2E"/>
    <w:lvl w:ilvl="0" w:tplc="93EAE04E">
      <w:start w:val="2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274F"/>
    <w:multiLevelType w:val="hybridMultilevel"/>
    <w:tmpl w:val="6C6279AE"/>
    <w:lvl w:ilvl="0" w:tplc="6C543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059B7"/>
    <w:multiLevelType w:val="hybridMultilevel"/>
    <w:tmpl w:val="3B860C0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EA33F0"/>
    <w:multiLevelType w:val="hybridMultilevel"/>
    <w:tmpl w:val="6774404C"/>
    <w:lvl w:ilvl="0" w:tplc="E24036D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7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3AFF"/>
    <w:rsid w:val="00026BA1"/>
    <w:rsid w:val="000379EB"/>
    <w:rsid w:val="00040791"/>
    <w:rsid w:val="00043C2B"/>
    <w:rsid w:val="000447BE"/>
    <w:rsid w:val="00050B53"/>
    <w:rsid w:val="0007139E"/>
    <w:rsid w:val="00073861"/>
    <w:rsid w:val="00091885"/>
    <w:rsid w:val="00095418"/>
    <w:rsid w:val="000A4184"/>
    <w:rsid w:val="000C0EC0"/>
    <w:rsid w:val="000C4041"/>
    <w:rsid w:val="000C61B6"/>
    <w:rsid w:val="000D3EE6"/>
    <w:rsid w:val="000F5C92"/>
    <w:rsid w:val="00126C50"/>
    <w:rsid w:val="00137802"/>
    <w:rsid w:val="00146D68"/>
    <w:rsid w:val="00196614"/>
    <w:rsid w:val="001B0D84"/>
    <w:rsid w:val="001B5352"/>
    <w:rsid w:val="001C4752"/>
    <w:rsid w:val="001D6A59"/>
    <w:rsid w:val="001D70EB"/>
    <w:rsid w:val="00200E53"/>
    <w:rsid w:val="00214707"/>
    <w:rsid w:val="00235E7D"/>
    <w:rsid w:val="002727A9"/>
    <w:rsid w:val="002968FF"/>
    <w:rsid w:val="002B6CC3"/>
    <w:rsid w:val="002C4377"/>
    <w:rsid w:val="00303615"/>
    <w:rsid w:val="00331873"/>
    <w:rsid w:val="0033319C"/>
    <w:rsid w:val="00337942"/>
    <w:rsid w:val="00337D7E"/>
    <w:rsid w:val="00355B99"/>
    <w:rsid w:val="00357959"/>
    <w:rsid w:val="00364B9B"/>
    <w:rsid w:val="00372355"/>
    <w:rsid w:val="00390255"/>
    <w:rsid w:val="00394CE1"/>
    <w:rsid w:val="003B0ADD"/>
    <w:rsid w:val="003D0527"/>
    <w:rsid w:val="003F43A2"/>
    <w:rsid w:val="004011E2"/>
    <w:rsid w:val="004019F6"/>
    <w:rsid w:val="00405886"/>
    <w:rsid w:val="0042379E"/>
    <w:rsid w:val="00436995"/>
    <w:rsid w:val="00442B89"/>
    <w:rsid w:val="00447B7B"/>
    <w:rsid w:val="004501F8"/>
    <w:rsid w:val="00463933"/>
    <w:rsid w:val="004700EB"/>
    <w:rsid w:val="004A5E02"/>
    <w:rsid w:val="004C3F92"/>
    <w:rsid w:val="004C5CBC"/>
    <w:rsid w:val="004E721D"/>
    <w:rsid w:val="0055008C"/>
    <w:rsid w:val="00550FA4"/>
    <w:rsid w:val="00561114"/>
    <w:rsid w:val="00564BDC"/>
    <w:rsid w:val="00593053"/>
    <w:rsid w:val="005A0276"/>
    <w:rsid w:val="005C0368"/>
    <w:rsid w:val="005C0391"/>
    <w:rsid w:val="005D1F5D"/>
    <w:rsid w:val="005D32E7"/>
    <w:rsid w:val="006127FC"/>
    <w:rsid w:val="00613F24"/>
    <w:rsid w:val="0062667C"/>
    <w:rsid w:val="00631493"/>
    <w:rsid w:val="006453F9"/>
    <w:rsid w:val="00684E8F"/>
    <w:rsid w:val="006A7389"/>
    <w:rsid w:val="006C7CAE"/>
    <w:rsid w:val="006D1404"/>
    <w:rsid w:val="006D6898"/>
    <w:rsid w:val="006E1E73"/>
    <w:rsid w:val="006E7A58"/>
    <w:rsid w:val="006F3706"/>
    <w:rsid w:val="00710538"/>
    <w:rsid w:val="007417C2"/>
    <w:rsid w:val="00770E77"/>
    <w:rsid w:val="00771146"/>
    <w:rsid w:val="00776907"/>
    <w:rsid w:val="00785CA1"/>
    <w:rsid w:val="007B2B6F"/>
    <w:rsid w:val="007D29CA"/>
    <w:rsid w:val="007D59F6"/>
    <w:rsid w:val="007E0657"/>
    <w:rsid w:val="007F5226"/>
    <w:rsid w:val="008174CB"/>
    <w:rsid w:val="00825B5C"/>
    <w:rsid w:val="0083275E"/>
    <w:rsid w:val="00837F96"/>
    <w:rsid w:val="00843132"/>
    <w:rsid w:val="0086049E"/>
    <w:rsid w:val="0087633D"/>
    <w:rsid w:val="00887276"/>
    <w:rsid w:val="008929AC"/>
    <w:rsid w:val="008A4AA7"/>
    <w:rsid w:val="008C5AAC"/>
    <w:rsid w:val="008D38F1"/>
    <w:rsid w:val="008E6EF1"/>
    <w:rsid w:val="008F0D45"/>
    <w:rsid w:val="008F2097"/>
    <w:rsid w:val="008F65EC"/>
    <w:rsid w:val="00916E24"/>
    <w:rsid w:val="0092479F"/>
    <w:rsid w:val="0092546E"/>
    <w:rsid w:val="00930D65"/>
    <w:rsid w:val="00945686"/>
    <w:rsid w:val="009830E4"/>
    <w:rsid w:val="009925DF"/>
    <w:rsid w:val="009936F8"/>
    <w:rsid w:val="009A68A1"/>
    <w:rsid w:val="009C3C43"/>
    <w:rsid w:val="009C747E"/>
    <w:rsid w:val="009E1DD0"/>
    <w:rsid w:val="009E2E78"/>
    <w:rsid w:val="009E33CD"/>
    <w:rsid w:val="00A05A45"/>
    <w:rsid w:val="00A33691"/>
    <w:rsid w:val="00A647ED"/>
    <w:rsid w:val="00A7774C"/>
    <w:rsid w:val="00A90DFA"/>
    <w:rsid w:val="00A93181"/>
    <w:rsid w:val="00AB71C1"/>
    <w:rsid w:val="00AD2176"/>
    <w:rsid w:val="00B0182B"/>
    <w:rsid w:val="00B20153"/>
    <w:rsid w:val="00B3630A"/>
    <w:rsid w:val="00B70DF0"/>
    <w:rsid w:val="00BA4299"/>
    <w:rsid w:val="00BA620E"/>
    <w:rsid w:val="00BC1BB9"/>
    <w:rsid w:val="00BC478E"/>
    <w:rsid w:val="00BD14B2"/>
    <w:rsid w:val="00BD6CBC"/>
    <w:rsid w:val="00BD77EE"/>
    <w:rsid w:val="00BF7802"/>
    <w:rsid w:val="00C22E57"/>
    <w:rsid w:val="00C24DF1"/>
    <w:rsid w:val="00C51299"/>
    <w:rsid w:val="00C540F5"/>
    <w:rsid w:val="00C55D76"/>
    <w:rsid w:val="00C70D43"/>
    <w:rsid w:val="00C92C56"/>
    <w:rsid w:val="00CD158A"/>
    <w:rsid w:val="00CD21B4"/>
    <w:rsid w:val="00D12616"/>
    <w:rsid w:val="00D15FD9"/>
    <w:rsid w:val="00D2444C"/>
    <w:rsid w:val="00D24F28"/>
    <w:rsid w:val="00D35A53"/>
    <w:rsid w:val="00D361EE"/>
    <w:rsid w:val="00D3799F"/>
    <w:rsid w:val="00D51573"/>
    <w:rsid w:val="00D6188D"/>
    <w:rsid w:val="00D66483"/>
    <w:rsid w:val="00D80FD5"/>
    <w:rsid w:val="00D82DDE"/>
    <w:rsid w:val="00D8414F"/>
    <w:rsid w:val="00DA15DD"/>
    <w:rsid w:val="00DA6E2D"/>
    <w:rsid w:val="00DD7362"/>
    <w:rsid w:val="00DF4F57"/>
    <w:rsid w:val="00E07E32"/>
    <w:rsid w:val="00E42BE8"/>
    <w:rsid w:val="00EA0BFC"/>
    <w:rsid w:val="00EB5460"/>
    <w:rsid w:val="00EC50B8"/>
    <w:rsid w:val="00F17486"/>
    <w:rsid w:val="00F3141D"/>
    <w:rsid w:val="00F35A82"/>
    <w:rsid w:val="00F405F7"/>
    <w:rsid w:val="00F46961"/>
    <w:rsid w:val="00F63325"/>
    <w:rsid w:val="00F67564"/>
    <w:rsid w:val="00FC3E49"/>
    <w:rsid w:val="00FD1832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70DB0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07E3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af6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,Ha"/>
    <w:basedOn w:val="a"/>
    <w:link w:val="af7"/>
    <w:uiPriority w:val="34"/>
    <w:qFormat/>
    <w:rsid w:val="00C92C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f7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f6"/>
    <w:uiPriority w:val="34"/>
    <w:qFormat/>
    <w:locked/>
    <w:rsid w:val="00C92C56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8">
    <w:name w:val="Normal (Web)"/>
    <w:basedOn w:val="a"/>
    <w:uiPriority w:val="99"/>
    <w:semiHidden/>
    <w:unhideWhenUsed/>
    <w:rsid w:val="00337D7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f9">
    <w:name w:val="Strong"/>
    <w:basedOn w:val="a0"/>
    <w:uiPriority w:val="22"/>
    <w:qFormat/>
    <w:rsid w:val="00771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gromarke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D9D7-47FB-460D-A372-EF092ED6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8652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Chyngyz Turdakunov</cp:lastModifiedBy>
  <cp:revision>34</cp:revision>
  <cp:lastPrinted>2017-08-01T14:35:00Z</cp:lastPrinted>
  <dcterms:created xsi:type="dcterms:W3CDTF">2022-04-29T10:46:00Z</dcterms:created>
  <dcterms:modified xsi:type="dcterms:W3CDTF">2025-06-30T11:46:00Z</dcterms:modified>
</cp:coreProperties>
</file>