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32482457" w:rsidR="00137D4F" w:rsidRPr="00B15433" w:rsidRDefault="00137D4F" w:rsidP="00B15433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0D3F6C">
        <w:rPr>
          <w:rFonts w:eastAsiaTheme="minorEastAsia"/>
          <w:b/>
        </w:rPr>
        <w:t>запасных частей и аксессуаров автотранспорта, а также техническое обслуживание и услуги ремонта транспортных средств</w:t>
      </w:r>
      <w:r w:rsidR="00D16667" w:rsidRPr="00B15433">
        <w:rPr>
          <w:rFonts w:eastAsiaTheme="minorEastAsia"/>
          <w:b/>
        </w:rPr>
        <w:t>.</w:t>
      </w:r>
      <w:r w:rsidR="000D3F6C">
        <w:rPr>
          <w:rFonts w:eastAsiaTheme="minorEastAsia"/>
          <w:b/>
        </w:rPr>
        <w:t xml:space="preserve"> Индустриальное масло</w:t>
      </w:r>
      <w:r w:rsidR="00EC7590">
        <w:rPr>
          <w:rFonts w:eastAsiaTheme="minorEastAsia"/>
          <w:b/>
        </w:rPr>
        <w:t xml:space="preserve"> (повторно)</w:t>
      </w:r>
      <w:r w:rsidR="000D3F6C">
        <w:rPr>
          <w:rFonts w:eastAsiaTheme="minorEastAsia"/>
          <w:b/>
        </w:rPr>
        <w:t xml:space="preserve"> </w:t>
      </w:r>
      <w:r w:rsidR="00D16667" w:rsidRPr="00B15433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701"/>
        <w:gridCol w:w="2523"/>
      </w:tblGrid>
      <w:tr w:rsidR="00137D4F" w:rsidRPr="005136B9" w14:paraId="6577A6F6" w14:textId="77777777" w:rsidTr="001F1D55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701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1F1D55">
        <w:trPr>
          <w:trHeight w:val="2354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84EEE1B" w14:textId="3477F4C7" w:rsidR="006278B4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Приобретение запасных частей и аксессуаров автотранспорта, а также техническое обслуживание и услуги ремонта транспортных средств </w:t>
            </w:r>
            <w:r w:rsidR="00374607" w:rsidRPr="001F1D55">
              <w:rPr>
                <w:b/>
                <w:sz w:val="22"/>
                <w:szCs w:val="22"/>
              </w:rPr>
              <w:t>(Полное описание в прикрепленных документах</w:t>
            </w:r>
            <w:r w:rsidR="00374607" w:rsidRPr="001F1D55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275" w:type="dxa"/>
          </w:tcPr>
          <w:p w14:paraId="1156FC14" w14:textId="557CFD92" w:rsidR="008A7D0D" w:rsidRPr="001F1D55" w:rsidRDefault="000D3F6C" w:rsidP="006278B4">
            <w:pPr>
              <w:pStyle w:val="TableParagraph"/>
              <w:spacing w:before="14"/>
            </w:pPr>
            <w:r w:rsidRPr="001F1D55">
              <w:t>Согласно прикрепленного списка и наименований</w:t>
            </w:r>
          </w:p>
          <w:p w14:paraId="47116191" w14:textId="195E05F7" w:rsidR="00B15433" w:rsidRPr="001F1D55" w:rsidRDefault="00B15433" w:rsidP="006278B4">
            <w:pPr>
              <w:pStyle w:val="TableParagraph"/>
              <w:spacing w:before="14"/>
            </w:pPr>
          </w:p>
        </w:tc>
        <w:tc>
          <w:tcPr>
            <w:tcW w:w="1701" w:type="dxa"/>
          </w:tcPr>
          <w:p w14:paraId="00D8D6C4" w14:textId="10B7B731" w:rsidR="008A7D0D" w:rsidRPr="001F1D55" w:rsidRDefault="000D3F6C" w:rsidP="000D3F6C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9B3BD93" w14:textId="4F037730" w:rsidR="008A7D0D" w:rsidRPr="001F1D55" w:rsidRDefault="000D3F6C" w:rsidP="00B15433">
            <w:pPr>
              <w:pStyle w:val="TableParagraph"/>
              <w:spacing w:line="252" w:lineRule="auto"/>
              <w:ind w:right="147"/>
            </w:pPr>
            <w:r w:rsidRPr="001F1D55">
              <w:t>Согласно заявкам Заказчика, а также в спец. СТО Исполнителя в городе Бишкек, в центральной части и в радиусе не более 10-20км.</w:t>
            </w:r>
          </w:p>
        </w:tc>
      </w:tr>
      <w:tr w:rsidR="000D3F6C" w:rsidRPr="005136B9" w14:paraId="13467702" w14:textId="77777777" w:rsidTr="001F1D55">
        <w:trPr>
          <w:trHeight w:val="575"/>
        </w:trPr>
        <w:tc>
          <w:tcPr>
            <w:tcW w:w="709" w:type="dxa"/>
          </w:tcPr>
          <w:p w14:paraId="04B72991" w14:textId="29DF3E86" w:rsidR="000D3F6C" w:rsidRDefault="000D3F6C" w:rsidP="00F26726">
            <w:pPr>
              <w:jc w:val="center"/>
            </w:pPr>
            <w:r>
              <w:t xml:space="preserve">Лот № 2 </w:t>
            </w:r>
          </w:p>
        </w:tc>
        <w:tc>
          <w:tcPr>
            <w:tcW w:w="3114" w:type="dxa"/>
            <w:vAlign w:val="bottom"/>
          </w:tcPr>
          <w:p w14:paraId="23899408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>Индустриальное масло</w:t>
            </w:r>
          </w:p>
          <w:p w14:paraId="66446FD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CA1DEF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7A0DDB3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E798420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CB774DD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4A7BBCA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1CFB3B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DED1F02" w14:textId="77777777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1C24DE9" w14:textId="26DED70F" w:rsidR="000D3F6C" w:rsidRPr="001F1D55" w:rsidRDefault="000D3F6C" w:rsidP="00374607">
            <w:pPr>
              <w:pStyle w:val="msonormal0"/>
              <w:spacing w:before="0" w:beforeAutospacing="0" w:after="0" w:afterAutospacing="0"/>
              <w:rPr>
                <w:sz w:val="22"/>
                <w:szCs w:val="22"/>
              </w:rPr>
            </w:pPr>
            <w:r w:rsidRPr="001F1D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14:paraId="163399E5" w14:textId="688665BD" w:rsidR="000D3F6C" w:rsidRPr="001F1D55" w:rsidRDefault="000D3F6C" w:rsidP="006278B4">
            <w:pPr>
              <w:pStyle w:val="TableParagraph"/>
              <w:spacing w:before="14"/>
            </w:pPr>
            <w:r w:rsidRPr="001F1D55">
              <w:t>120 литров</w:t>
            </w:r>
          </w:p>
        </w:tc>
        <w:tc>
          <w:tcPr>
            <w:tcW w:w="1701" w:type="dxa"/>
          </w:tcPr>
          <w:p w14:paraId="54A3AD26" w14:textId="02FA4064" w:rsidR="000D3F6C" w:rsidRPr="001F1D55" w:rsidRDefault="000D3F6C" w:rsidP="005F3210">
            <w:pPr>
              <w:pStyle w:val="TableParagraph"/>
              <w:spacing w:line="252" w:lineRule="auto"/>
              <w:ind w:left="105" w:right="130" w:firstLine="120"/>
            </w:pPr>
            <w:r w:rsidRPr="001F1D55">
              <w:rPr>
                <w:spacing w:val="-2"/>
              </w:rPr>
              <w:t xml:space="preserve">Согласно заявке </w:t>
            </w:r>
            <w:r w:rsidRPr="001F1D55">
              <w:t xml:space="preserve">Заказчика </w:t>
            </w:r>
            <w:r w:rsidRPr="001F1D55">
              <w:rPr>
                <w:spacing w:val="-15"/>
              </w:rPr>
              <w:t>после</w:t>
            </w:r>
            <w:r w:rsidRPr="001F1D55">
              <w:rPr>
                <w:spacing w:val="-2"/>
              </w:rPr>
              <w:t xml:space="preserve"> подписания договора</w:t>
            </w:r>
          </w:p>
        </w:tc>
        <w:tc>
          <w:tcPr>
            <w:tcW w:w="2523" w:type="dxa"/>
          </w:tcPr>
          <w:p w14:paraId="184784B4" w14:textId="77777777" w:rsidR="000D3F6C" w:rsidRPr="001F1D55" w:rsidRDefault="000D3F6C" w:rsidP="000D3F6C">
            <w:pPr>
              <w:pStyle w:val="TableParagraph"/>
              <w:spacing w:line="252" w:lineRule="auto"/>
              <w:ind w:right="192"/>
            </w:pPr>
            <w:r w:rsidRPr="001F1D55">
              <w:rPr>
                <w:spacing w:val="-4"/>
              </w:rPr>
              <w:t>КГТУ</w:t>
            </w:r>
          </w:p>
          <w:p w14:paraId="0ABAAE35" w14:textId="5A5F0638" w:rsidR="000D3F6C" w:rsidRPr="001F1D55" w:rsidRDefault="000D3F6C" w:rsidP="000D3F6C">
            <w:pPr>
              <w:pStyle w:val="TableParagraph"/>
              <w:spacing w:line="252" w:lineRule="auto"/>
              <w:ind w:right="147"/>
            </w:pPr>
            <w:proofErr w:type="spellStart"/>
            <w:r w:rsidRPr="001F1D55">
              <w:rPr>
                <w:spacing w:val="-2"/>
              </w:rPr>
              <w:t>им.И.Раззакова</w:t>
            </w:r>
            <w:proofErr w:type="spellEnd"/>
            <w:r w:rsidRPr="001F1D55">
              <w:rPr>
                <w:spacing w:val="-2"/>
              </w:rPr>
              <w:t>, (</w:t>
            </w:r>
            <w:proofErr w:type="spellStart"/>
            <w:r w:rsidRPr="001F1D55">
              <w:rPr>
                <w:spacing w:val="-2"/>
              </w:rPr>
              <w:t>г.Бишкек</w:t>
            </w:r>
            <w:proofErr w:type="spellEnd"/>
            <w:r w:rsidRPr="001F1D55">
              <w:rPr>
                <w:spacing w:val="-2"/>
              </w:rPr>
              <w:t xml:space="preserve">, </w:t>
            </w:r>
            <w:proofErr w:type="spellStart"/>
            <w:r w:rsidRPr="001F1D55">
              <w:rPr>
                <w:spacing w:val="-2"/>
              </w:rPr>
              <w:t>пр.Ч.Айтматова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="001F1D55">
              <w:rPr>
                <w:spacing w:val="-4"/>
              </w:rPr>
              <w:t>66,</w:t>
            </w:r>
          </w:p>
          <w:p w14:paraId="26367C2C" w14:textId="0587150B" w:rsidR="000D3F6C" w:rsidRPr="001F1D55" w:rsidRDefault="000D3F6C" w:rsidP="000D3F6C">
            <w:pPr>
              <w:pStyle w:val="TableParagraph"/>
              <w:spacing w:line="252" w:lineRule="auto"/>
              <w:ind w:right="192"/>
              <w:rPr>
                <w:spacing w:val="-4"/>
              </w:rPr>
            </w:pPr>
            <w:proofErr w:type="spellStart"/>
            <w:r w:rsidRPr="001F1D55">
              <w:rPr>
                <w:spacing w:val="-2"/>
              </w:rPr>
              <w:t>ул.Малдыбаева</w:t>
            </w:r>
            <w:proofErr w:type="spellEnd"/>
            <w:r w:rsidRPr="001F1D55">
              <w:rPr>
                <w:spacing w:val="-2"/>
              </w:rPr>
              <w:t xml:space="preserve">, </w:t>
            </w:r>
            <w:r w:rsidRPr="001F1D55">
              <w:t>34</w:t>
            </w:r>
            <w:proofErr w:type="gramStart"/>
            <w:r w:rsidRPr="001F1D55">
              <w:t>б</w:t>
            </w:r>
            <w:r w:rsidR="001F1D55">
              <w:t xml:space="preserve">,  </w:t>
            </w:r>
            <w:proofErr w:type="spellStart"/>
            <w:r w:rsidR="001F1D55">
              <w:t>пр.Чуй</w:t>
            </w:r>
            <w:proofErr w:type="spellEnd"/>
            <w:proofErr w:type="gramEnd"/>
            <w:r w:rsidR="001F1D55">
              <w:t xml:space="preserve">, 215 </w:t>
            </w:r>
            <w:r w:rsidRPr="001F1D55">
              <w:rPr>
                <w:spacing w:val="-2"/>
              </w:rPr>
              <w:t>)</w:t>
            </w:r>
          </w:p>
          <w:p w14:paraId="65CE5C14" w14:textId="77777777" w:rsidR="000D3F6C" w:rsidRPr="001F1D55" w:rsidRDefault="000D3F6C" w:rsidP="000D3F6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0411B4E4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FD72D5">
        <w:rPr>
          <w:spacing w:val="-2"/>
          <w:sz w:val="24"/>
          <w:szCs w:val="24"/>
        </w:rPr>
        <w:t>3</w:t>
      </w:r>
      <w:r w:rsidR="00EC7590">
        <w:rPr>
          <w:spacing w:val="-2"/>
          <w:sz w:val="24"/>
          <w:szCs w:val="24"/>
        </w:rPr>
        <w:t>00</w:t>
      </w:r>
      <w:r w:rsidR="006278B4" w:rsidRPr="00237AE2">
        <w:rPr>
          <w:spacing w:val="-2"/>
          <w:sz w:val="24"/>
          <w:szCs w:val="24"/>
        </w:rPr>
        <w:t> </w:t>
      </w:r>
      <w:r w:rsidR="00B15433">
        <w:rPr>
          <w:spacing w:val="-2"/>
          <w:sz w:val="24"/>
          <w:szCs w:val="24"/>
        </w:rPr>
        <w:t>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7C330DEB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B15433">
        <w:t>1</w:t>
      </w:r>
      <w:r w:rsidR="00F26E2E">
        <w:t>1</w:t>
      </w:r>
      <w:r w:rsidR="00EB6FA1">
        <w:t>:00</w:t>
      </w:r>
      <w:r w:rsidR="00FD0C5B">
        <w:t xml:space="preserve"> часов </w:t>
      </w:r>
      <w:r w:rsidR="00EC7590">
        <w:t>11</w:t>
      </w:r>
      <w:r w:rsidR="00023446" w:rsidRPr="005136B9">
        <w:t xml:space="preserve"> </w:t>
      </w:r>
      <w:r w:rsidR="00EC7590">
        <w:t>июл</w:t>
      </w:r>
      <w:r w:rsidR="00B15433">
        <w:t>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440FE6DD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EC7590">
        <w:rPr>
          <w:b/>
          <w:color w:val="444746"/>
          <w:sz w:val="28"/>
          <w:szCs w:val="28"/>
          <w:shd w:val="clear" w:color="auto" w:fill="FFFFFF"/>
        </w:rPr>
        <w:t>11</w:t>
      </w:r>
      <w:r w:rsidR="00B1543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B15433">
        <w:rPr>
          <w:b/>
          <w:color w:val="444746"/>
          <w:sz w:val="28"/>
          <w:szCs w:val="28"/>
          <w:shd w:val="clear" w:color="auto" w:fill="FFFFFF"/>
        </w:rPr>
        <w:t>июня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20010F28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F26E2E">
        <w:rPr>
          <w:b/>
          <w:color w:val="444746"/>
          <w:sz w:val="28"/>
          <w:szCs w:val="28"/>
          <w:shd w:val="clear" w:color="auto" w:fill="FFFFFF"/>
        </w:rPr>
        <w:t>1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EC7590">
        <w:rPr>
          <w:b/>
          <w:color w:val="444746"/>
          <w:sz w:val="28"/>
          <w:szCs w:val="28"/>
          <w:shd w:val="clear" w:color="auto" w:fill="FFFFFF"/>
        </w:rPr>
        <w:t>11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EC7590">
        <w:rPr>
          <w:b/>
          <w:color w:val="444746"/>
          <w:sz w:val="28"/>
          <w:szCs w:val="28"/>
          <w:shd w:val="clear" w:color="auto" w:fill="FFFFFF"/>
        </w:rPr>
        <w:t>июл</w:t>
      </w:r>
      <w:bookmarkStart w:id="0" w:name="_GoBack"/>
      <w:bookmarkEnd w:id="0"/>
      <w:r w:rsidR="00B15433">
        <w:rPr>
          <w:b/>
          <w:color w:val="444746"/>
          <w:sz w:val="28"/>
          <w:szCs w:val="28"/>
          <w:shd w:val="clear" w:color="auto" w:fill="FFFFFF"/>
        </w:rPr>
        <w:t>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20AF4D9C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FD72D5">
        <w:rPr>
          <w:rStyle w:val="ab"/>
          <w:color w:val="222222"/>
          <w:shd w:val="clear" w:color="auto" w:fill="FFFFFF"/>
        </w:rPr>
        <w:t>Кыдыков</w:t>
      </w:r>
      <w:proofErr w:type="spellEnd"/>
      <w:r w:rsidR="00FD72D5">
        <w:rPr>
          <w:rStyle w:val="ab"/>
          <w:color w:val="222222"/>
          <w:shd w:val="clear" w:color="auto" w:fill="FFFFFF"/>
        </w:rPr>
        <w:t xml:space="preserve"> А.А.</w:t>
      </w:r>
      <w:r w:rsidR="00823CEE" w:rsidRPr="00823CEE">
        <w:rPr>
          <w:rStyle w:val="ab"/>
          <w:color w:val="222222"/>
          <w:shd w:val="clear" w:color="auto" w:fill="FFFFFF"/>
        </w:rPr>
        <w:t xml:space="preserve"> </w:t>
      </w:r>
      <w:r w:rsidRPr="00823CEE">
        <w:rPr>
          <w:b/>
          <w:bCs/>
        </w:rPr>
        <w:t>_____________</w:t>
      </w:r>
    </w:p>
    <w:p w14:paraId="5B9793E8" w14:textId="2979DF32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FD72D5">
        <w:rPr>
          <w:b/>
        </w:rPr>
        <w:t>Токобаев</w:t>
      </w:r>
      <w:proofErr w:type="spellEnd"/>
      <w:r w:rsidR="00FD72D5">
        <w:rPr>
          <w:b/>
        </w:rPr>
        <w:t xml:space="preserve"> А.А.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75577926" w14:textId="7E30756F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00BC8"/>
    <w:rsid w:val="00011729"/>
    <w:rsid w:val="00023446"/>
    <w:rsid w:val="0002526A"/>
    <w:rsid w:val="00060605"/>
    <w:rsid w:val="00080C5B"/>
    <w:rsid w:val="000A1EE2"/>
    <w:rsid w:val="000D3F6C"/>
    <w:rsid w:val="000E3672"/>
    <w:rsid w:val="000F406C"/>
    <w:rsid w:val="00105705"/>
    <w:rsid w:val="00137D4F"/>
    <w:rsid w:val="001B08AB"/>
    <w:rsid w:val="001F1D55"/>
    <w:rsid w:val="00235A14"/>
    <w:rsid w:val="00237AE2"/>
    <w:rsid w:val="00257B57"/>
    <w:rsid w:val="00263A5D"/>
    <w:rsid w:val="00280085"/>
    <w:rsid w:val="002847AE"/>
    <w:rsid w:val="0030091B"/>
    <w:rsid w:val="00374607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61630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15433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C7590"/>
    <w:rsid w:val="00ED5984"/>
    <w:rsid w:val="00F26726"/>
    <w:rsid w:val="00F26E2E"/>
    <w:rsid w:val="00F435AE"/>
    <w:rsid w:val="00F60787"/>
    <w:rsid w:val="00F72E99"/>
    <w:rsid w:val="00FD0C5B"/>
    <w:rsid w:val="00FD72D5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F943-EAB2-4E96-A5AF-C553FD02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4</cp:revision>
  <cp:lastPrinted>2025-06-16T11:22:00Z</cp:lastPrinted>
  <dcterms:created xsi:type="dcterms:W3CDTF">2025-07-04T08:55:00Z</dcterms:created>
  <dcterms:modified xsi:type="dcterms:W3CDTF">2025-07-04T08:58:00Z</dcterms:modified>
</cp:coreProperties>
</file>