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C" w:rsidRPr="005E457C" w:rsidRDefault="005E457C" w:rsidP="005E457C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b/>
          <w:spacing w:val="-1"/>
          <w:sz w:val="24"/>
          <w:szCs w:val="24"/>
        </w:rPr>
        <w:t>ОАО «Коммерчески банк КЫРГЫЗСТАН»</w:t>
      </w:r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 приглашает принять участие в тендере на поставку ИТ оборудования.</w:t>
      </w:r>
    </w:p>
    <w:p w:rsidR="005E457C" w:rsidRPr="005E457C" w:rsidRDefault="005E457C" w:rsidP="005E457C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E457C" w:rsidRPr="005E457C" w:rsidRDefault="005E457C" w:rsidP="005E457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b/>
          <w:bCs/>
          <w:spacing w:val="-1"/>
          <w:sz w:val="24"/>
          <w:szCs w:val="24"/>
        </w:rPr>
        <w:t>Требования к поставщику: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Принимаются во внимание оборудования от производителей HP, </w:t>
      </w:r>
      <w:proofErr w:type="spellStart"/>
      <w:r w:rsidRPr="005E457C">
        <w:rPr>
          <w:rFonts w:ascii="Times New Roman" w:hAnsi="Times New Roman" w:cs="Times New Roman"/>
          <w:spacing w:val="-1"/>
          <w:sz w:val="24"/>
          <w:szCs w:val="24"/>
        </w:rPr>
        <w:t>Dell</w:t>
      </w:r>
      <w:proofErr w:type="spellEnd"/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5E457C">
        <w:rPr>
          <w:rFonts w:ascii="Times New Roman" w:hAnsi="Times New Roman" w:cs="Times New Roman"/>
          <w:spacing w:val="-1"/>
          <w:sz w:val="24"/>
          <w:szCs w:val="24"/>
        </w:rPr>
        <w:t>Lenovo</w:t>
      </w:r>
      <w:proofErr w:type="spellEnd"/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Коммерческое предложение;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Учредительные документы, оформленные в установленном порядке – для юридических лиц;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Банковский счет;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Наличие не менее 3 (трех) положительных отзывов от заказчиков;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Должен поставляться с гарантийными обязательствами производителя в течение трехлетнего гарантийного срока c даты продажи конечному пользователю;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Право на поставку должно быть подтверждено </w:t>
      </w:r>
      <w:proofErr w:type="spellStart"/>
      <w:r w:rsidRPr="005E457C">
        <w:rPr>
          <w:rFonts w:ascii="Times New Roman" w:hAnsi="Times New Roman" w:cs="Times New Roman"/>
          <w:spacing w:val="-1"/>
          <w:sz w:val="24"/>
          <w:szCs w:val="24"/>
        </w:rPr>
        <w:t>авторизационным</w:t>
      </w:r>
      <w:proofErr w:type="spellEnd"/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 письмом производителя оборудования;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Наличие авторизированного сервисного центра.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Инсталляция будет произведена на территории банка с участием производителя/поставщика;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Наличие не менее 2 (двух) сертифицированных инженеров (с предоставлением сертификатов); 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Заинтересованные правомочные претенденты могут получить дополнительную информацию по следующему адресу: г. Бишкек, ул. </w:t>
      </w:r>
      <w:proofErr w:type="spellStart"/>
      <w:r w:rsidRPr="005E457C">
        <w:rPr>
          <w:rFonts w:ascii="Times New Roman" w:hAnsi="Times New Roman" w:cs="Times New Roman"/>
          <w:spacing w:val="-1"/>
          <w:sz w:val="24"/>
          <w:szCs w:val="24"/>
        </w:rPr>
        <w:t>Тоголок</w:t>
      </w:r>
      <w:proofErr w:type="spellEnd"/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457C">
        <w:rPr>
          <w:rFonts w:ascii="Times New Roman" w:hAnsi="Times New Roman" w:cs="Times New Roman"/>
          <w:spacing w:val="-1"/>
          <w:sz w:val="24"/>
          <w:szCs w:val="24"/>
        </w:rPr>
        <w:t>Молдо</w:t>
      </w:r>
      <w:proofErr w:type="spellEnd"/>
      <w:r w:rsidRPr="005E457C">
        <w:rPr>
          <w:rFonts w:ascii="Times New Roman" w:hAnsi="Times New Roman" w:cs="Times New Roman"/>
          <w:spacing w:val="-1"/>
          <w:sz w:val="24"/>
          <w:szCs w:val="24"/>
        </w:rPr>
        <w:t xml:space="preserve">, 54а, </w:t>
      </w:r>
      <w:hyperlink r:id="rId5" w:history="1">
        <w:r w:rsidRPr="005E457C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tender</w:t>
        </w:r>
        <w:r w:rsidRPr="005E457C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@</w:t>
        </w:r>
        <w:proofErr w:type="spellStart"/>
        <w:r w:rsidRPr="005E457C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cbk</w:t>
        </w:r>
        <w:proofErr w:type="spellEnd"/>
        <w:r w:rsidRPr="005E457C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5E457C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kg</w:t>
        </w:r>
      </w:hyperlink>
      <w:r w:rsidRPr="005E457C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Все коммерческие предложения принимаются по электронной почте </w:t>
      </w:r>
      <w:hyperlink r:id="rId6" w:history="1">
        <w:r w:rsidRPr="005E457C">
          <w:rPr>
            <w:rStyle w:val="a5"/>
            <w:rFonts w:ascii="Times New Roman" w:hAnsi="Times New Roman" w:cs="Times New Roman"/>
            <w:b/>
            <w:bCs/>
            <w:spacing w:val="-1"/>
            <w:sz w:val="24"/>
            <w:szCs w:val="24"/>
          </w:rPr>
          <w:t>tender@cbk.kg</w:t>
        </w:r>
      </w:hyperlink>
      <w:r w:rsidRPr="005E457C">
        <w:rPr>
          <w:rFonts w:ascii="Times New Roman" w:hAnsi="Times New Roman" w:cs="Times New Roman"/>
          <w:b/>
          <w:bCs/>
          <w:spacing w:val="-1"/>
          <w:sz w:val="24"/>
          <w:szCs w:val="24"/>
        </w:rPr>
        <w:t>.;</w:t>
      </w:r>
    </w:p>
    <w:p w:rsidR="005E457C" w:rsidRPr="005E457C" w:rsidRDefault="005E457C" w:rsidP="005E457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457C">
        <w:rPr>
          <w:rFonts w:ascii="Times New Roman" w:hAnsi="Times New Roman" w:cs="Times New Roman"/>
          <w:spacing w:val="-1"/>
          <w:sz w:val="24"/>
          <w:szCs w:val="24"/>
        </w:rPr>
        <w:t>Тендерные заявки просим направить до</w:t>
      </w:r>
      <w:r w:rsidRPr="005E457C">
        <w:rPr>
          <w:rFonts w:ascii="Times New Roman" w:hAnsi="Times New Roman" w:cs="Times New Roman"/>
          <w:b/>
          <w:bCs/>
          <w:spacing w:val="-1"/>
          <w:sz w:val="24"/>
          <w:szCs w:val="24"/>
        </w:rPr>
        <w:t> 15:00 часов 01 Сентября 2023 года, коммерческие предложения, направленные позже указанного срока, не будут рассмотрены комиссией.  </w:t>
      </w:r>
    </w:p>
    <w:p w:rsidR="005E457C" w:rsidRPr="005E457C" w:rsidRDefault="005E457C" w:rsidP="005E45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7C" w:rsidRPr="005E457C" w:rsidRDefault="005E457C" w:rsidP="005E45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7"/>
        <w:gridCol w:w="6466"/>
      </w:tblGrid>
      <w:tr w:rsidR="005E457C" w:rsidRPr="005E457C" w:rsidTr="00DC652B">
        <w:trPr>
          <w:trHeight w:val="287"/>
          <w:tblHeader/>
        </w:trPr>
        <w:tc>
          <w:tcPr>
            <w:tcW w:w="680" w:type="dxa"/>
            <w:shd w:val="clear" w:color="auto" w:fill="auto"/>
            <w:vAlign w:val="center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5E457C" w:rsidRPr="005E457C" w:rsidTr="00DC652B">
        <w:trPr>
          <w:trHeight w:val="133"/>
        </w:trPr>
        <w:tc>
          <w:tcPr>
            <w:tcW w:w="680" w:type="dxa"/>
            <w:shd w:val="clear" w:color="auto" w:fill="E7E6E6" w:themeFill="background2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3" w:type="dxa"/>
            <w:gridSpan w:val="2"/>
            <w:shd w:val="clear" w:color="auto" w:fill="E7E6E6" w:themeFill="background2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серверу 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Порт USB 2.0 на лицевой панели сервера - 1.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Выделенный порт удаленного управления сервером - 1.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Выделенный порт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подключения к системе управления на передней панели – 1.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Порт USB 2.0 на задней панели - 1. 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Порт USB 3.0 на задней панели - 1.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Слоты на материнской плате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4.0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16 – 2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5.0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8 – 4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4.0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8 – 2 шт.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Слот на материнской плате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OCP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3.0 - 1.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Порт видеоадаптера - VGA на задней панели - 1, VGA на передней панели - 1.</w:t>
            </w:r>
          </w:p>
        </w:tc>
      </w:tr>
      <w:tr w:rsidR="005E457C" w:rsidRPr="005E457C" w:rsidTr="00DC652B">
        <w:trPr>
          <w:trHeight w:val="56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шасси 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Форм-фактор для установки в стандартную серверную стойку, высота - 4U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запираемую на ключ переднюю панель корпуса сервера, ограничивающую доступ к жестким дискам. Лицевая панель должна быть оснащена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экраном с кнопками управления с возможностью вывода основных параметров сервера.</w:t>
            </w:r>
          </w:p>
        </w:tc>
      </w:tr>
      <w:tr w:rsidR="005E457C" w:rsidRPr="005E457C" w:rsidTr="00DC652B">
        <w:trPr>
          <w:trHeight w:val="6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оперативной памяти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RDIMM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DDR5</w:t>
            </w:r>
          </w:p>
        </w:tc>
      </w:tr>
      <w:tr w:rsidR="005E457C" w:rsidRPr="005E457C" w:rsidTr="00DC652B">
        <w:trPr>
          <w:trHeight w:val="6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Максимальный поддерживаемый объем оперативной памяти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16 TB 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Количество слотов для оперативной памяти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E457C" w:rsidRPr="005E457C" w:rsidTr="00DC652B">
        <w:trPr>
          <w:trHeight w:val="41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охлаждения сервера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6 вентиляторов, с возможностью горячей замены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слотов для жестких дисков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Сетевые порты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2-х портов на материнской плате 10/100/1000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-45.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(одного) сетевого адаптера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OCP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3.0 с не менее чем 4 портами 10/25 Гбит/с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28 с установленными трансиверами 25 Гбит/с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457C" w:rsidRPr="005E457C" w:rsidTr="00DC652B">
        <w:trPr>
          <w:trHeight w:val="70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порты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(одного) адаптеров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с не менее чем 2 (двумя) портами 32 Гбит/с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с двумя установленными трансиверами 32 Гбит/с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</w:tr>
      <w:tr w:rsidR="005E457C" w:rsidRPr="005E457C" w:rsidTr="00DC652B">
        <w:trPr>
          <w:trHeight w:val="70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Не менее 4 шт. Мощность каждого – не менее 1400 Вт, с возможностью горячей замены</w:t>
            </w:r>
          </w:p>
        </w:tc>
      </w:tr>
      <w:tr w:rsidR="005E457C" w:rsidRPr="005E457C" w:rsidTr="00DC652B">
        <w:trPr>
          <w:trHeight w:val="70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Средства дистанционного управления и мониторинга сервера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pStyle w:val="a3"/>
              <w:tabs>
                <w:tab w:val="left" w:pos="317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 должно обеспечивать: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управление, обновление и устранение неполадок независимо от наличия операционной системы или гипервизора, без использования агентов;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поддержку протоколов SSH, SSL, DHCP, DNS;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возможность записи и хранения видео консольных сессий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инвентаризационной информации обо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. и виртуальных;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указателя как на этапе загрузки вычислительного узла, так и во время работы операционных систем. Виртуальная консоль должна поддерживать работу с использованием веб-браузера и стандарта HTML5, без необходимости использования плагинов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ActiveX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возможность управления RAID-контроллерами, устанавливаемых внутри корпуса вычислительного узла, через веб-интерфейс или командный интерфейс модуля управления без необходимости установки агентского ПО в ОС;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модуль управления сервером должен иметь функционал безопасной проверки целостности и неизменности пакетов 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обновлений микрокодов компонент вычислительного узла на этапе подготовки обновления;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модуль управления сервером должен поддерживать функционал управления группой серверов из одной консоли без использования внешних систем управления. Должно поддерживаться не менее 250 серверов в группе управления;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быть установлен беспроводной приемо-передатчик, обеспечивающий передачу данных о конфигурации сервера на смартфоны и любые мобильные устройства, оборудованные приемо-передатчиком </w:t>
            </w:r>
            <w:proofErr w:type="spellStart"/>
            <w:r w:rsidRPr="005E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5E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E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Pr="005E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57C" w:rsidRPr="005E457C" w:rsidTr="00DC652B">
        <w:trPr>
          <w:trHeight w:val="12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43" w:type="dxa"/>
            <w:gridSpan w:val="2"/>
          </w:tcPr>
          <w:p w:rsidR="005E457C" w:rsidRPr="005E457C" w:rsidRDefault="005E457C" w:rsidP="005E457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процессору сервера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Не ниже </w:t>
            </w:r>
          </w:p>
          <w:p w:rsidR="005E457C" w:rsidRPr="005E457C" w:rsidRDefault="005E457C" w:rsidP="005E457C">
            <w:pPr>
              <w:pStyle w:val="a3"/>
              <w:tabs>
                <w:tab w:val="left" w:pos="172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4 поколения, 32 ядра; 2.4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; 60 MB кэш-памяти 3-го уровня, поддержка UPI 16 ГТ/с, памяти DDR5-4400, TDP не более 250Вт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Система охлаждения процессоров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E457C" w:rsidRPr="005E457C" w:rsidTr="00DC652B">
        <w:trPr>
          <w:trHeight w:val="70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3" w:type="dxa"/>
            <w:gridSpan w:val="2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оперативной памяти сервера</w:t>
            </w:r>
          </w:p>
        </w:tc>
      </w:tr>
      <w:tr w:rsidR="005E457C" w:rsidRPr="005E457C" w:rsidTr="00DC652B">
        <w:trPr>
          <w:trHeight w:val="638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Установленная оперативная память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32 модуля </w:t>
            </w:r>
            <w:r w:rsidRPr="005E457C">
              <w:rPr>
                <w:rFonts w:ascii="Times New Roman" w:eastAsia="Arial" w:hAnsi="Times New Roman" w:cs="Times New Roman"/>
                <w:sz w:val="24"/>
                <w:szCs w:val="24"/>
              </w:rPr>
              <w:t>RDIMM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по 64GB каждый</w:t>
            </w:r>
          </w:p>
        </w:tc>
      </w:tr>
      <w:tr w:rsidR="005E457C" w:rsidRPr="005E457C" w:rsidTr="00DC652B">
        <w:trPr>
          <w:trHeight w:val="237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Тип оперативной памяти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DDR5-4800 М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, ECC-коррекция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многобитовых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</w:tc>
      </w:tr>
      <w:tr w:rsidR="005E457C" w:rsidRPr="005E457C" w:rsidTr="00DC652B">
        <w:trPr>
          <w:trHeight w:val="93"/>
        </w:trPr>
        <w:tc>
          <w:tcPr>
            <w:tcW w:w="680" w:type="dxa"/>
          </w:tcPr>
          <w:p w:rsidR="005E457C" w:rsidRPr="005E457C" w:rsidRDefault="005E457C" w:rsidP="005E457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3" w:type="dxa"/>
            <w:gridSpan w:val="2"/>
          </w:tcPr>
          <w:p w:rsidR="005E457C" w:rsidRPr="005E457C" w:rsidRDefault="005E457C" w:rsidP="005E457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контроллерам дисковых массивов сервера и жестким дискам</w:t>
            </w:r>
          </w:p>
        </w:tc>
      </w:tr>
      <w:tr w:rsidR="005E457C" w:rsidRPr="005E457C" w:rsidTr="00DC652B">
        <w:trPr>
          <w:trHeight w:val="6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Тип поддерживаемых жестких дисков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SATA, SAS,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proofErr w:type="spellEnd"/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 w:val="restart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77" w:type="dxa"/>
            <w:vMerge w:val="restart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RAID 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Поддержка уровней RAID 0, 1, 5, 6, 10, 50, 60;</w:t>
            </w:r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данных – не менее 12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Не менее 8 GB кэш памяти на чтение и запись, отказоустойчивый ROM, онлайн миграция между уровнями RAID, увеличение емкости без остановки работы, онлайн увеличение размера существующих логических томов</w:t>
            </w:r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Поддержка интеграции со средствами для управления и мониторинга сервера</w:t>
            </w:r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Поддержка не менее 32 накопителей</w:t>
            </w:r>
          </w:p>
        </w:tc>
      </w:tr>
      <w:tr w:rsidR="005E457C" w:rsidRPr="005E457C" w:rsidTr="00DC652B">
        <w:trPr>
          <w:trHeight w:val="53"/>
        </w:trPr>
        <w:tc>
          <w:tcPr>
            <w:tcW w:w="680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контроллер не должен занимать слот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интерфейсных плат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Тип установленных накопителей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, устойчивость к не менее чем 1-м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циклу перезаписи в день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Количество накопителей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2 шт., с возможностью горячей замены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Объем каждого накопителя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Форм фактор накопителей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2,5”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Загрузочные накопители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контроллера с двумя накопителями формата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объемом 480ГБ, объединенных в аппаратный 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RAID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Контроллер должен поддерживать установку и </w:t>
            </w:r>
            <w:proofErr w:type="gram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извлечение без открытия корпуса</w:t>
            </w:r>
            <w:proofErr w:type="gram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остановки сервера, должна поддерживаться горячая замена накопителей. Контроллер не должен занимать слотов для предназначенных для установки дополнительных 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-адаптеров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243" w:type="dxa"/>
            <w:gridSpan w:val="2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комплектности и гарантии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Комплектность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кабели для подключения сервера к сети электрического питания (для розетки типа IEC-С13);</w:t>
            </w:r>
          </w:p>
          <w:p w:rsidR="005E457C" w:rsidRPr="005E457C" w:rsidRDefault="005E457C" w:rsidP="005E457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«салазки» для монтажа сервера в стандартный телекоммуникационный шкаф 19”.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36 месяцев с момента поставки товара на склад Заказчика (Представителя заказчика). </w:t>
            </w:r>
          </w:p>
          <w:p w:rsidR="005E457C" w:rsidRPr="005E457C" w:rsidRDefault="005E457C" w:rsidP="005E457C">
            <w:pPr>
              <w:spacing w:after="0"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 период гарантийного срока поставщик предоставляет техническую поддержку по электронной почте, через сайт, по телефону с уровнем 24</w:t>
            </w:r>
            <w:r w:rsidRPr="005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7. При невозможности решения проблемы по телефону Поставщик организовывает выезд специалиста (-</w:t>
            </w:r>
            <w:proofErr w:type="spellStart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E457C">
              <w:rPr>
                <w:rFonts w:ascii="Times New Roman" w:hAnsi="Times New Roman" w:cs="Times New Roman"/>
                <w:sz w:val="24"/>
                <w:szCs w:val="24"/>
              </w:rPr>
              <w:t xml:space="preserve">) к Заказчику (Представителю заказчика) в срок не более 72 часов с момента регистрации обращения в службе поддержки без учета выходных и праздничных дней. </w:t>
            </w:r>
          </w:p>
          <w:p w:rsidR="005E457C" w:rsidRPr="005E457C" w:rsidRDefault="005E457C" w:rsidP="005E457C">
            <w:pPr>
              <w:spacing w:after="0" w:line="276" w:lineRule="auto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 случае поломки, замена товара по гарантии производится за счет Поставщика. Доставка товара для гарантийного ремонта или замены от Заказчика (Представителя заказчика) до центра по ремонту и обратно Заказчику (Представителя заказчика) производится Поставщиком своими силами за свой счет. Срок гарантийного ремонта не должен превышать 60 календарных дней с момента передачи товара на ремонт.</w:t>
            </w:r>
          </w:p>
        </w:tc>
      </w:tr>
      <w:tr w:rsidR="005E457C" w:rsidRPr="005E457C" w:rsidTr="00DC652B">
        <w:trPr>
          <w:trHeight w:val="54"/>
        </w:trPr>
        <w:tc>
          <w:tcPr>
            <w:tcW w:w="680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77" w:type="dxa"/>
          </w:tcPr>
          <w:p w:rsidR="005E457C" w:rsidRPr="005E457C" w:rsidRDefault="005E457C" w:rsidP="005E45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466" w:type="dxa"/>
          </w:tcPr>
          <w:p w:rsidR="005E457C" w:rsidRPr="005E457C" w:rsidRDefault="005E457C" w:rsidP="005E457C">
            <w:pPr>
              <w:spacing w:after="0" w:line="276" w:lineRule="auto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Поставка выполняется единовременно и в полном объеме в адрес Заказчика (Представителя заказчика).</w:t>
            </w:r>
          </w:p>
          <w:p w:rsidR="005E457C" w:rsidRPr="005E457C" w:rsidRDefault="005E457C" w:rsidP="005E457C">
            <w:pPr>
              <w:autoSpaceDE w:val="0"/>
              <w:autoSpaceDN w:val="0"/>
              <w:adjustRightInd w:val="0"/>
              <w:spacing w:after="0" w:line="276" w:lineRule="auto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7C">
              <w:rPr>
                <w:rFonts w:ascii="Times New Roman" w:hAnsi="Times New Roman" w:cs="Times New Roman"/>
                <w:sz w:val="24"/>
                <w:szCs w:val="24"/>
              </w:rPr>
              <w:t>Все оборудование и материалы, поставляемые Поставщиком, должны быть новыми, не бывшими в эксплуатации, без дефектов и повреждений.</w:t>
            </w:r>
          </w:p>
        </w:tc>
      </w:tr>
    </w:tbl>
    <w:p w:rsidR="005E457C" w:rsidRPr="00443434" w:rsidRDefault="005E457C" w:rsidP="005E4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E5" w:rsidRDefault="00D038E5"/>
    <w:sectPr w:rsidR="00D038E5" w:rsidSect="00003E8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6B6"/>
    <w:multiLevelType w:val="hybridMultilevel"/>
    <w:tmpl w:val="7D1C218E"/>
    <w:lvl w:ilvl="0" w:tplc="028A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9A0"/>
    <w:multiLevelType w:val="hybridMultilevel"/>
    <w:tmpl w:val="91E2FBD6"/>
    <w:lvl w:ilvl="0" w:tplc="028A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C58"/>
    <w:multiLevelType w:val="hybridMultilevel"/>
    <w:tmpl w:val="8738FEEA"/>
    <w:lvl w:ilvl="0" w:tplc="F418001C">
      <w:start w:val="6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82"/>
    <w:rsid w:val="00441182"/>
    <w:rsid w:val="005E457C"/>
    <w:rsid w:val="00D038E5"/>
    <w:rsid w:val="00E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DFE3"/>
  <w15:chartTrackingRefBased/>
  <w15:docId w15:val="{D3DD17F7-1D7F-4838-95ED-AFFA45B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,Table of contents numbered,List Paragraph21,List Paragraph2,ERP-List Paragraph,List Paragraph11,Numbering,Bullet EY,Sąrašo pastraipa1,List not in Table,Bullet 1,Heading1,H1-1"/>
    <w:basedOn w:val="a"/>
    <w:link w:val="a4"/>
    <w:uiPriority w:val="34"/>
    <w:qFormat/>
    <w:rsid w:val="005E457C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Абзац Знак,Table of contents numbered Знак,List Paragraph21 Знак,List Paragraph2 Знак,ERP-List Paragraph Знак,List Paragraph11 Знак,Numbering Знак"/>
    <w:link w:val="a3"/>
    <w:uiPriority w:val="34"/>
    <w:qFormat/>
    <w:locked/>
    <w:rsid w:val="005E457C"/>
  </w:style>
  <w:style w:type="character" w:styleId="a5">
    <w:name w:val="Hyperlink"/>
    <w:basedOn w:val="a0"/>
    <w:uiPriority w:val="99"/>
    <w:semiHidden/>
    <w:unhideWhenUsed/>
    <w:rsid w:val="005E4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bk.kg" TargetMode="External"/><Relationship Id="rId5" Type="http://schemas.openxmlformats.org/officeDocument/2006/relationships/hyperlink" Target="mailto:tender@cb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Эрикова Бегай Рафиковна</dc:creator>
  <cp:keywords/>
  <dc:description/>
  <cp:lastModifiedBy>Эрикова Бегай Рафиковна</cp:lastModifiedBy>
  <cp:revision>2</cp:revision>
  <dcterms:created xsi:type="dcterms:W3CDTF">2023-08-24T08:21:00Z</dcterms:created>
  <dcterms:modified xsi:type="dcterms:W3CDTF">2023-08-24T08:24:00Z</dcterms:modified>
</cp:coreProperties>
</file>