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77777777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77777777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533E092F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3750BD">
        <w:rPr>
          <w:b/>
          <w:sz w:val="22"/>
          <w:szCs w:val="22"/>
          <w:lang w:eastAsia="en-US"/>
        </w:rPr>
        <w:t>бумаги для копировальной техники формата А4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700DE811" w:rsidR="00C22911" w:rsidRPr="00D8653A" w:rsidRDefault="003750BD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А4</w:t>
            </w:r>
          </w:p>
        </w:tc>
      </w:tr>
      <w:tr w:rsidR="003750BD" w:rsidRPr="00D8653A" w14:paraId="4A720238" w14:textId="77777777" w:rsidTr="00D14CE0">
        <w:trPr>
          <w:trHeight w:val="275"/>
        </w:trPr>
        <w:tc>
          <w:tcPr>
            <w:tcW w:w="1129" w:type="dxa"/>
            <w:shd w:val="clear" w:color="auto" w:fill="FFFFFF"/>
          </w:tcPr>
          <w:p w14:paraId="2E5DF7DA" w14:textId="77777777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shd w:val="clear" w:color="auto" w:fill="FFFFFF"/>
          </w:tcPr>
          <w:p w14:paraId="65FA328C" w14:textId="154C0794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А4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4B8178C3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proofErr w:type="spellStart"/>
      <w:r w:rsidRPr="00D8653A">
        <w:rPr>
          <w:sz w:val="22"/>
          <w:szCs w:val="22"/>
          <w:lang w:val="ru-RU"/>
        </w:rPr>
        <w:t>запечатанн</w:t>
      </w:r>
      <w:proofErr w:type="spellEnd"/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proofErr w:type="spellStart"/>
      <w:r w:rsidR="003750BD">
        <w:rPr>
          <w:bCs/>
          <w:sz w:val="22"/>
          <w:szCs w:val="22"/>
          <w:lang w:val="ru-RU"/>
        </w:rPr>
        <w:t>ул.Московская</w:t>
      </w:r>
      <w:proofErr w:type="spellEnd"/>
      <w:r w:rsidR="003750BD">
        <w:rPr>
          <w:bCs/>
          <w:sz w:val="22"/>
          <w:szCs w:val="22"/>
          <w:lang w:val="ru-RU"/>
        </w:rPr>
        <w:t>, 190</w:t>
      </w:r>
      <w:r w:rsidR="00A762CE">
        <w:rPr>
          <w:bCs/>
          <w:sz w:val="22"/>
          <w:szCs w:val="22"/>
          <w:lang w:val="ru-RU"/>
        </w:rPr>
        <w:t xml:space="preserve"> или на электронный адрес </w:t>
      </w:r>
      <w:hyperlink r:id="rId9" w:history="1">
        <w:r w:rsidR="00A762CE" w:rsidRPr="004314C3">
          <w:rPr>
            <w:rStyle w:val="a5"/>
            <w:bCs/>
            <w:sz w:val="22"/>
            <w:szCs w:val="22"/>
          </w:rPr>
          <w:t>gcstroy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@</w:t>
        </w:r>
        <w:r w:rsidR="00A762CE" w:rsidRPr="004314C3">
          <w:rPr>
            <w:rStyle w:val="a5"/>
            <w:bCs/>
            <w:sz w:val="22"/>
            <w:szCs w:val="22"/>
          </w:rPr>
          <w:t>yandex</w:t>
        </w:r>
        <w:r w:rsidR="00A762CE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A762CE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3750BD">
        <w:rPr>
          <w:sz w:val="22"/>
          <w:szCs w:val="22"/>
          <w:lang w:val="ru-RU"/>
        </w:rPr>
        <w:t>14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02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3750BD">
        <w:rPr>
          <w:sz w:val="22"/>
          <w:szCs w:val="22"/>
          <w:u w:val="single"/>
          <w:lang w:val="ru-RU"/>
        </w:rPr>
        <w:t>1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77777777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к окончательному сроку подачи конкурсных заявок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77777777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1FF5B464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3750BD">
        <w:rPr>
          <w:rFonts w:ascii="Times New Roman" w:hAnsi="Times New Roman" w:cs="Times New Roman"/>
          <w:i/>
        </w:rPr>
        <w:t>2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</w:t>
      </w:r>
      <w:proofErr w:type="gramStart"/>
      <w:r w:rsidR="00EE0A3D">
        <w:rPr>
          <w:rFonts w:ascii="Times New Roman" w:hAnsi="Times New Roman" w:cs="Times New Roman"/>
          <w:i/>
        </w:rPr>
        <w:t xml:space="preserve">сом </w:t>
      </w:r>
      <w:r w:rsidRPr="00D8653A">
        <w:rPr>
          <w:rFonts w:ascii="Times New Roman" w:hAnsi="Times New Roman" w:cs="Times New Roman"/>
          <w:i/>
        </w:rPr>
        <w:t xml:space="preserve"> (</w:t>
      </w:r>
      <w:proofErr w:type="gramEnd"/>
      <w:r w:rsidRPr="00D8653A">
        <w:rPr>
          <w:rFonts w:ascii="Times New Roman" w:hAnsi="Times New Roman" w:cs="Times New Roman"/>
          <w:i/>
        </w:rPr>
        <w:t xml:space="preserve">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281B9C9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14:paraId="45C116EE" w14:textId="77777777"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77777777"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14:paraId="40B40E6D" w14:textId="77777777"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399891FF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14:paraId="2D25BE2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D8653A">
        <w:rPr>
          <w:sz w:val="22"/>
          <w:szCs w:val="22"/>
          <w:lang w:val="ru-RU"/>
        </w:rPr>
        <w:t xml:space="preserve">заявок </w:t>
      </w:r>
      <w:r w:rsidRPr="00D8653A">
        <w:rPr>
          <w:sz w:val="22"/>
          <w:szCs w:val="22"/>
          <w:lang w:val="ru-RU"/>
        </w:rPr>
        <w:t xml:space="preserve"> вы</w:t>
      </w:r>
      <w:proofErr w:type="gramEnd"/>
      <w:r w:rsidRPr="00D8653A">
        <w:rPr>
          <w:sz w:val="22"/>
          <w:szCs w:val="22"/>
          <w:lang w:val="ru-RU"/>
        </w:rPr>
        <w:t xml:space="preserve">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10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8A61C2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</w:t>
      </w:r>
      <w:proofErr w:type="gramStart"/>
      <w:r w:rsidR="00CD0AB7" w:rsidRPr="00D8653A">
        <w:rPr>
          <w:sz w:val="22"/>
          <w:szCs w:val="22"/>
          <w:lang w:val="ru-RU"/>
        </w:rPr>
        <w:t xml:space="preserve">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>0</w:t>
      </w:r>
      <w:proofErr w:type="gramEnd"/>
      <w:r w:rsidR="004D3732" w:rsidRPr="00D8653A">
        <w:rPr>
          <w:sz w:val="22"/>
          <w:szCs w:val="22"/>
          <w:lang w:val="ru-RU"/>
        </w:rPr>
        <w:t xml:space="preserve">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proofErr w:type="gramStart"/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>указано</w:t>
      </w:r>
      <w:proofErr w:type="gramEnd"/>
      <w:r w:rsidR="00013B9A" w:rsidRPr="00D8653A">
        <w:rPr>
          <w:sz w:val="22"/>
          <w:szCs w:val="22"/>
          <w:lang w:val="ru-RU"/>
        </w:rPr>
        <w:t xml:space="preserve">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14:paraId="40FAA97E" w14:textId="77777777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82AB3D8" w14:textId="77777777"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14:paraId="040CD2EC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FDCED8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ACCF267" w14:textId="7FDB2B0C" w:rsidR="008B03BD" w:rsidRPr="00BF5BA5" w:rsidRDefault="008B03BD" w:rsidP="00BF5BA5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ind w:hanging="501"/>
        <w:contextualSpacing/>
        <w:outlineLvl w:val="0"/>
        <w:rPr>
          <w:rFonts w:ascii="Times New Roman" w:hAnsi="Times New Roman" w:cs="Times New Roman"/>
        </w:rPr>
      </w:pPr>
      <w:r w:rsidRPr="00BF5BA5">
        <w:rPr>
          <w:rFonts w:ascii="Times New Roman" w:hAnsi="Times New Roman" w:cs="Times New Roman"/>
        </w:rPr>
        <w:t xml:space="preserve">Наименование </w:t>
      </w:r>
      <w:proofErr w:type="gramStart"/>
      <w:r w:rsidRPr="00BF5BA5">
        <w:rPr>
          <w:rFonts w:ascii="Times New Roman" w:hAnsi="Times New Roman" w:cs="Times New Roman"/>
        </w:rPr>
        <w:t>компании:</w:t>
      </w:r>
      <w:r w:rsidR="003750BD">
        <w:rPr>
          <w:rFonts w:ascii="Times New Roman" w:hAnsi="Times New Roman" w:cs="Times New Roman"/>
        </w:rPr>
        <w:t>_</w:t>
      </w:r>
      <w:proofErr w:type="gramEnd"/>
      <w:r w:rsidR="003750BD">
        <w:rPr>
          <w:rFonts w:ascii="Times New Roman" w:hAnsi="Times New Roman" w:cs="Times New Roman"/>
        </w:rPr>
        <w:t>____________________________________________</w:t>
      </w:r>
    </w:p>
    <w:p w14:paraId="337C337C" w14:textId="4865BE6B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3750BD">
        <w:rPr>
          <w:rFonts w:ascii="Times New Roman" w:hAnsi="Times New Roman" w:cs="Times New Roman"/>
        </w:rPr>
        <w:t>_______________________________</w:t>
      </w:r>
    </w:p>
    <w:p w14:paraId="3ECFDC43" w14:textId="740FF0A4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 </w:t>
      </w:r>
      <w:r w:rsidR="003750BD">
        <w:rPr>
          <w:rFonts w:ascii="Times New Roman" w:hAnsi="Times New Roman" w:cs="Times New Roman"/>
        </w:rPr>
        <w:t>___________________________________________________________</w:t>
      </w:r>
      <w:r w:rsidRPr="003D04C8">
        <w:rPr>
          <w:rFonts w:ascii="Times New Roman" w:hAnsi="Times New Roman" w:cs="Times New Roman"/>
        </w:rPr>
        <w:t>, согласен обеспечить Республиканский центр сертификации в строительстве при Госстрое КМКР,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10097A3" w14:textId="5BD4F710"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D14CE0" w:rsidRPr="00D8653A" w14:paraId="22A8BC90" w14:textId="77777777" w:rsidTr="004262E5">
        <w:tc>
          <w:tcPr>
            <w:tcW w:w="567" w:type="dxa"/>
            <w:shd w:val="clear" w:color="auto" w:fill="D9E2F3" w:themeFill="accent1" w:themeFillTint="33"/>
            <w:vAlign w:val="center"/>
          </w:tcPr>
          <w:p w14:paraId="7EC60B0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EA2CC77" w14:textId="77777777" w:rsidR="00D14CE0" w:rsidRPr="00D8653A" w:rsidRDefault="00D14CE0" w:rsidP="00A1245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8AA383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FAF877E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6BEDE1B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F9D7E5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DC2390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E4D2E11" w14:textId="6413F324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 w:rsidR="00A1245F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21ED2B74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A1245F" w:rsidRPr="00D14CE0" w14:paraId="0CA9D797" w14:textId="77777777" w:rsidTr="004262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55D" w14:textId="77777777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_Hlk115439675"/>
            <w:bookmarkEnd w:id="3"/>
            <w:bookmarkEnd w:id="4"/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B57" w14:textId="228A9DCE" w:rsidR="00A1245F" w:rsidRPr="00D14CE0" w:rsidRDefault="003750BD" w:rsidP="00A1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682D" w14:textId="26F7FC09" w:rsidR="00A1245F" w:rsidRPr="00D14CE0" w:rsidRDefault="003750BD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2CE" w14:textId="3C258388" w:rsidR="00A1245F" w:rsidRPr="00D14CE0" w:rsidRDefault="003750BD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A1245F"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E770" w14:textId="61A2B271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7BEB" w14:textId="403C3AA5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C41B" w14:textId="0B831EAB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2291" w14:textId="0633C7C2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2B6" w:rsidRPr="00D14CE0" w14:paraId="5A0B8552" w14:textId="77777777" w:rsidTr="0025166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D78" w14:textId="3BB2F5E3" w:rsidR="00E342B6" w:rsidRDefault="00E342B6" w:rsidP="00E34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A554" w14:textId="71A0B1C0" w:rsidR="00E342B6" w:rsidRDefault="00E342B6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FEE5791" w14:textId="77777777"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CF07D3A" w14:textId="38F4B74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100F268" w14:textId="656C28D0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</w:t>
      </w:r>
      <w:r w:rsidR="003750BD" w:rsidRPr="0015743A">
        <w:rPr>
          <w:rFonts w:ascii="Times New Roman" w:hAnsi="Times New Roman"/>
          <w:b/>
          <w:bCs/>
          <w:sz w:val="22"/>
          <w:szCs w:val="22"/>
          <w:lang w:val="ru-RU"/>
        </w:rPr>
        <w:t>Ош</w:t>
      </w:r>
      <w:proofErr w:type="spellEnd"/>
      <w:r w:rsidR="003750BD"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="003750BD"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ул.Моторная</w:t>
      </w:r>
      <w:proofErr w:type="spellEnd"/>
      <w:r w:rsidR="003750BD" w:rsidRPr="0015743A">
        <w:rPr>
          <w:rFonts w:ascii="Times New Roman" w:hAnsi="Times New Roman"/>
          <w:b/>
          <w:bCs/>
          <w:sz w:val="22"/>
          <w:szCs w:val="22"/>
          <w:lang w:val="ru-RU"/>
        </w:rPr>
        <w:t>, 2а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560388E1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5C37A9" w14:textId="31D1CEBF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2 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3750BD" w:rsidRPr="00D8653A" w14:paraId="69A6387B" w14:textId="77777777" w:rsidTr="008B1246">
        <w:tc>
          <w:tcPr>
            <w:tcW w:w="567" w:type="dxa"/>
            <w:shd w:val="clear" w:color="auto" w:fill="D9E2F3" w:themeFill="accent1" w:themeFillTint="33"/>
            <w:vAlign w:val="center"/>
          </w:tcPr>
          <w:p w14:paraId="14D0209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F7F24AA" w14:textId="77777777" w:rsidR="003750BD" w:rsidRPr="00D8653A" w:rsidRDefault="003750BD" w:rsidP="008B1246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BAE3F23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B8F0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7FDF7C0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BA69C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1BF265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D2F182C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32BF22C9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3750BD" w:rsidRPr="00D14CE0" w14:paraId="5608ACA5" w14:textId="77777777" w:rsidTr="008B12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11E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E19" w14:textId="77777777" w:rsidR="003750BD" w:rsidRPr="00D14CE0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7285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66C" w14:textId="5706E911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3B9B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95D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1898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67D2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50BD" w:rsidRPr="00D14CE0" w14:paraId="70B8C8A2" w14:textId="77777777" w:rsidTr="008B124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091D" w14:textId="77777777" w:rsidR="003750BD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68D6" w14:textId="77777777" w:rsidR="003750BD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BF5E875" w14:textId="77777777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E3C93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4AB0E6E" w14:textId="3A9FADC6" w:rsidR="003750BD" w:rsidRPr="001574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г.Бишкек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61558ECA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A53CCE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BE8748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4FCAA114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B924DDD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26C1E9B5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82F9719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4C48BD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334ED4E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70808008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0CBCA3AD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DFE58F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17768441" w14:textId="77777777" w:rsidR="003750BD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697ECA1" w14:textId="00EB14AB" w:rsidR="00C6404B" w:rsidRDefault="00C6404B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br w:type="page"/>
      </w:r>
    </w:p>
    <w:bookmarkEnd w:id="5"/>
    <w:p w14:paraId="55849A5F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5D92F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9DBC33A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DD7C6E" w14:textId="77777777"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14:paraId="11FB8B9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27BF0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14:paraId="61D95EB1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18F09A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D30E20" w14:textId="77777777" w:rsidR="002418CB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14:paraId="63D1B4B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49"/>
        <w:gridCol w:w="2380"/>
        <w:gridCol w:w="3219"/>
        <w:gridCol w:w="3752"/>
      </w:tblGrid>
      <w:tr w:rsidR="0015743A" w:rsidRPr="00D14CE0" w14:paraId="11FBAAC1" w14:textId="77777777" w:rsidTr="0015743A">
        <w:trPr>
          <w:trHeight w:val="255"/>
        </w:trPr>
        <w:tc>
          <w:tcPr>
            <w:tcW w:w="756" w:type="dxa"/>
            <w:gridSpan w:val="2"/>
          </w:tcPr>
          <w:p w14:paraId="7F0EE18A" w14:textId="12582C32" w:rsidR="0015743A" w:rsidRPr="00D14CE0" w:rsidRDefault="0015743A" w:rsidP="0015743A">
            <w:pPr>
              <w:ind w:left="6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noWrap/>
          </w:tcPr>
          <w:p w14:paraId="50683C7E" w14:textId="663B91B9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9" w:type="dxa"/>
            <w:shd w:val="clear" w:color="auto" w:fill="auto"/>
          </w:tcPr>
          <w:p w14:paraId="49E58211" w14:textId="2C71D073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752" w:type="dxa"/>
            <w:shd w:val="clear" w:color="auto" w:fill="auto"/>
          </w:tcPr>
          <w:p w14:paraId="78EF5E25" w14:textId="1D7F838A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Информация о соответствии</w:t>
            </w:r>
          </w:p>
        </w:tc>
      </w:tr>
      <w:tr w:rsidR="00BF5BA5" w:rsidRPr="00D14CE0" w14:paraId="5B68368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95" w14:textId="77777777" w:rsidR="00BF5BA5" w:rsidRPr="00D14CE0" w:rsidRDefault="00BF5BA5" w:rsidP="0015743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A5A" w14:textId="58B409AA" w:rsidR="00BF5BA5" w:rsidRPr="00D14CE0" w:rsidRDefault="003750BD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B687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А4</w:t>
            </w:r>
          </w:p>
          <w:p w14:paraId="5C01593E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3AC997A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62CB023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168 ± 2%</w:t>
            </w:r>
          </w:p>
          <w:p w14:paraId="21209BB9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B02D45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3698AFB3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A99326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38B93336" w14:textId="022E909A" w:rsidR="00BF5BA5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6367" w14:textId="1ADA5B53" w:rsidR="00BF5BA5" w:rsidRPr="00D14CE0" w:rsidRDefault="00BF5BA5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BCAABE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93232E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05295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FA3F4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11AE1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4FA7A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DEA315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231D11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FAB029" w14:textId="46D1BF8A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7ADDF94" w14:textId="646737C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6D40025" w14:textId="6E167B62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8846AD" w14:textId="5A0C403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08C1C5" w14:textId="21FE6E1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8D26C28" w14:textId="7B8C016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1F12E7" w14:textId="54250833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BB87607" w14:textId="77777777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344D734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300DC93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31AE8D1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A62659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E0B052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5D8F86F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FBF681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09ACFA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73DAC23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401B932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12A7E05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6314AE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C13458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A5F1C12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lastRenderedPageBreak/>
        <w:t>Приложение № 4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</w:t>
      </w:r>
      <w:proofErr w:type="gramStart"/>
      <w:r w:rsidR="00414973">
        <w:rPr>
          <w:rFonts w:ascii="Times New Roman" w:hAnsi="Times New Roman" w:cs="Times New Roman"/>
          <w:bCs/>
        </w:rPr>
        <w:t>_»_</w:t>
      </w:r>
      <w:proofErr w:type="gramEnd"/>
      <w:r w:rsidR="00414973">
        <w:rPr>
          <w:rFonts w:ascii="Times New Roman" w:hAnsi="Times New Roman" w:cs="Times New Roman"/>
          <w:bCs/>
        </w:rPr>
        <w:t>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proofErr w:type="spellStart"/>
      <w:r w:rsidR="00414973">
        <w:rPr>
          <w:rFonts w:ascii="Times New Roman" w:hAnsi="Times New Roman" w:cs="Times New Roman"/>
          <w:bCs/>
        </w:rPr>
        <w:t>ул.Московская</w:t>
      </w:r>
      <w:proofErr w:type="spellEnd"/>
      <w:r w:rsidR="00414973">
        <w:rPr>
          <w:rFonts w:ascii="Times New Roman" w:hAnsi="Times New Roman" w:cs="Times New Roman"/>
          <w:bCs/>
        </w:rPr>
        <w:t>, 190</w:t>
      </w:r>
    </w:p>
    <w:p w14:paraId="4BD60D28" w14:textId="66F77784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414973">
        <w:rPr>
          <w:rFonts w:ascii="Times New Roman" w:hAnsi="Times New Roman" w:cs="Times New Roman"/>
          <w:b/>
          <w:bCs/>
          <w:u w:val="single"/>
        </w:rPr>
        <w:t>Бумага для копировальной техники</w:t>
      </w:r>
    </w:p>
    <w:p w14:paraId="6DC388D3" w14:textId="18B555E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осуществить поставку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6409F286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1D56C31F" w14:textId="77777777" w:rsidR="00414973" w:rsidRDefault="00414973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2CE4F8DF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"Перечень цен»,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539388AB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поставку товаров,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 xml:space="preserve">Настоящим подтверждаем, что данное тендерное предложение соответствует сроку действия тендерной заявки, указанному в запросе </w:t>
      </w:r>
      <w:proofErr w:type="gramStart"/>
      <w:r w:rsidRPr="00FE6B78">
        <w:rPr>
          <w:rFonts w:ascii="Times New Roman" w:hAnsi="Times New Roman" w:cs="Times New Roman"/>
          <w:spacing w:val="-3"/>
        </w:rPr>
        <w:t>котировок</w:t>
      </w:r>
      <w:proofErr w:type="gramEnd"/>
      <w:r w:rsidRPr="00FE6B78">
        <w:rPr>
          <w:rFonts w:ascii="Times New Roman" w:hAnsi="Times New Roman" w:cs="Times New Roman"/>
          <w:spacing w:val="-3"/>
        </w:rPr>
        <w:t xml:space="preserve">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BDE2418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F11D322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название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Год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основания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Профиль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компании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реквизиты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Статус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плательщика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Почтовый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лицо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Адрес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электронной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почты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-сайт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14D1" w14:textId="77777777" w:rsidR="006526C6" w:rsidRDefault="006526C6" w:rsidP="00F5698D">
      <w:pPr>
        <w:spacing w:after="0" w:line="240" w:lineRule="auto"/>
      </w:pPr>
      <w:r>
        <w:separator/>
      </w:r>
    </w:p>
  </w:endnote>
  <w:endnote w:type="continuationSeparator" w:id="0">
    <w:p w14:paraId="3F9AE884" w14:textId="77777777" w:rsidR="006526C6" w:rsidRDefault="006526C6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95DE" w14:textId="77777777" w:rsidR="006526C6" w:rsidRDefault="006526C6" w:rsidP="00F5698D">
      <w:pPr>
        <w:spacing w:after="0" w:line="240" w:lineRule="auto"/>
      </w:pPr>
      <w:r>
        <w:separator/>
      </w:r>
    </w:p>
  </w:footnote>
  <w:footnote w:type="continuationSeparator" w:id="0">
    <w:p w14:paraId="44ACB67E" w14:textId="77777777" w:rsidR="006526C6" w:rsidRDefault="006526C6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26C6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5EC8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9B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st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2</cp:revision>
  <cp:lastPrinted>2023-12-19T08:49:00Z</cp:lastPrinted>
  <dcterms:created xsi:type="dcterms:W3CDTF">2024-02-07T03:58:00Z</dcterms:created>
  <dcterms:modified xsi:type="dcterms:W3CDTF">2024-02-07T03:58:00Z</dcterms:modified>
</cp:coreProperties>
</file>