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Приложение № 1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Приглашение к участию в открытых закупках.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Всем организациям независимо от форм собственности, зарегистрированным на территории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>
      <w:pPr>
        <w:numPr>
          <w:ilvl w:val="0"/>
          <w:numId w:val="1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Комиссия по закупкам и проведению тендеров ОАО «Коммерческий банк КЫРГЫЗСТАН» (далее - Банк) приглашает правомочных претендентов представить свои тендерные заявки на </w:t>
      </w:r>
      <w:r>
        <w:rPr>
          <w:rFonts w:ascii="Times New Roman" w:hAnsi="Times New Roman" w:cs="Times New Roman"/>
          <w:sz w:val="24"/>
          <w:szCs w:val="24"/>
        </w:rPr>
        <w:t>заключение договоров на закуп товаров по следующим лотам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>
      <w:pPr>
        <w:rPr>
          <w:rFonts w:ascii="Times New Roman" w:eastAsia="MingLiU_HKSCS-ExtB" w:hAnsi="Times New Roman" w:cs="Times New Roman"/>
          <w:sz w:val="24"/>
          <w:szCs w:val="24"/>
          <w:lang w:eastAsia="ru-RU"/>
        </w:rPr>
      </w:pPr>
      <w:r>
        <w:rPr>
          <w:rFonts w:ascii="Times New Roman" w:eastAsia="MingLiU_HKSCS-ExtB" w:hAnsi="Times New Roman" w:cs="Times New Roman"/>
          <w:sz w:val="24"/>
          <w:szCs w:val="24"/>
          <w:lang w:eastAsia="ru-RU"/>
        </w:rPr>
        <w:t>Относительно заключении договора с компаниями для приобретения товаров</w:t>
      </w:r>
    </w:p>
    <w:tbl>
      <w:tblPr>
        <w:tblW w:w="0" w:type="auto"/>
        <w:tblInd w:w="-5" w:type="dxa"/>
        <w:tblBorders>
          <w:top w:val="single" w:sz="2" w:space="0" w:color="auto"/>
        </w:tblBorders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3546"/>
        <w:gridCol w:w="5808"/>
      </w:tblGrid>
      <w:tr>
        <w:trPr>
          <w:trHeight w:val="559"/>
        </w:trPr>
        <w:tc>
          <w:tcPr>
            <w:tcW w:w="935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Требования ОАО «Коммерческий банк «КЫРГЫЗСТАН»</w:t>
            </w:r>
          </w:p>
        </w:tc>
      </w:tr>
      <w:tr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46" w:type="dxa"/>
            <w:tcBorders>
              <w:top w:val="nil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Место поставки услуг </w:t>
            </w:r>
          </w:p>
        </w:tc>
        <w:tc>
          <w:tcPr>
            <w:tcW w:w="5808" w:type="dxa"/>
            <w:tcBorders>
              <w:top w:val="nil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Бишкек</w:t>
            </w:r>
          </w:p>
        </w:tc>
      </w:tr>
      <w:tr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46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Требования к поставщику услуг</w:t>
            </w:r>
          </w:p>
        </w:tc>
        <w:tc>
          <w:tcPr>
            <w:tcW w:w="5808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Опыт оказания услуг страхования на территории Кыргызстана не менее 5 лет</w:t>
            </w:r>
          </w:p>
        </w:tc>
      </w:tr>
      <w:tr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4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начала  работ / услуг</w:t>
            </w:r>
          </w:p>
        </w:tc>
        <w:tc>
          <w:tcPr>
            <w:tcW w:w="580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даты заключения Договора.</w:t>
            </w:r>
          </w:p>
        </w:tc>
      </w:tr>
      <w:tr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4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Срок выполнения работ</w:t>
            </w:r>
          </w:p>
        </w:tc>
        <w:tc>
          <w:tcPr>
            <w:tcW w:w="580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 момента подписания договора – 10 календарных дней. </w:t>
            </w:r>
          </w:p>
        </w:tc>
      </w:tr>
      <w:tr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4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Платеж и срок выплаты </w:t>
            </w:r>
          </w:p>
        </w:tc>
        <w:tc>
          <w:tcPr>
            <w:tcW w:w="580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Аванс не предусмотрен.</w:t>
            </w:r>
          </w:p>
        </w:tc>
      </w:tr>
      <w:tr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1227"/>
        </w:trPr>
        <w:tc>
          <w:tcPr>
            <w:tcW w:w="354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Цена конкурсной заявки (коммерческое предложение)</w:t>
            </w:r>
          </w:p>
        </w:tc>
        <w:tc>
          <w:tcPr>
            <w:tcW w:w="580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цену, указанную участниками конкурса, должны быть включены все налоги, сборы и другие платежи взимаемые в соответствии с законодательством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Республики, а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иные расходы по выполнению договорных обязательств. </w:t>
            </w:r>
          </w:p>
        </w:tc>
      </w:tr>
      <w:tr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4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Срок для устранения Дефектов/время реагирования на устранение</w:t>
            </w:r>
          </w:p>
        </w:tc>
        <w:tc>
          <w:tcPr>
            <w:tcW w:w="580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рабочих дней</w:t>
            </w:r>
          </w:p>
        </w:tc>
      </w:tr>
      <w:tr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46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Характеристика для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картотеки Практик AFC-04</w:t>
            </w:r>
          </w:p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8" w:type="dxa"/>
            <w:shd w:val="clear" w:color="auto" w:fill="auto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картотек: 20 шт.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Размеры внешние, мм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ВхШхГ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): 1330x467x630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Вес, кг: 50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ящиков: 4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Максимальная нагрузка на ящик, кг: 30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Тип замка: ключевой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Формат документов: A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4,Foolscap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(FS)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Внутренние размеры ящика, мм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ВхШхГ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): 267х391х560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Цвет: Серый полуматовый (RAL 7038)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Тип покрытия: порошковое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Производитель: ПРОМЕТ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Страна: Россия</w:t>
            </w:r>
          </w:p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.5pt;height:298.5pt">
                  <v:imagedata r:id="rId5" o:title="praktikafc-04-1000x1000"/>
                </v:shape>
              </w:pict>
            </w:r>
          </w:p>
        </w:tc>
      </w:tr>
      <w:tr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46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подвесных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папок</w:t>
            </w:r>
          </w:p>
        </w:tc>
        <w:tc>
          <w:tcPr>
            <w:tcW w:w="5808" w:type="dxa"/>
            <w:shd w:val="clear" w:color="auto" w:fill="auto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папок: 4 000 шт.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подвесная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OfficeSpace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Foolscap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формата А4 Папка размером 365*240мм изготовлена из плотного картона жёлтого цвета плотностью 190 г/м2. 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имеет металлические крючки и пластиковые таблички с бумажными вставками для маркировки. Изделие размещается на специальной подставке.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длина вместе с крючками: 40,5 см.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Плотность: 190 г/м2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Картон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Вместимость: 80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табулятора: Да</w:t>
            </w:r>
          </w:p>
        </w:tc>
      </w:tr>
      <w:tr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46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3220" cy="2903220"/>
                  <wp:effectExtent l="0" t="0" r="0" b="0"/>
                  <wp:docPr id="3" name="Рисунок 3" descr="C:\Users\r_tagaeva\AppData\Local\Microsoft\Windows\INetCache\Content.Word\Без назван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r_tagaeva\AppData\Local\Microsoft\Windows\INetCache\Content.Word\Без назван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290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Times New Roman" w:eastAsia="MingLiU_HKSCS-ExtB" w:hAnsi="Times New Roman" w:cs="Times New Roman"/>
          <w:sz w:val="24"/>
          <w:szCs w:val="24"/>
          <w:lang w:eastAsia="ru-RU"/>
        </w:rPr>
      </w:pPr>
    </w:p>
    <w:p>
      <w:pPr>
        <w:numPr>
          <w:ilvl w:val="0"/>
          <w:numId w:val="1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Заинтересованные правомочные претенденты могут получить дополнительную информацию по следующему адресу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г.Бишкек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ул.Тоголок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Молдо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54а, 0312-61-09-00 (факс).</w:t>
      </w:r>
    </w:p>
    <w:p>
      <w:pPr>
        <w:numPr>
          <w:ilvl w:val="0"/>
          <w:numId w:val="1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Закупки будут проводиться методом неограниченного участия, все коммерческие предложения принимается по электронной почте </w:t>
      </w:r>
      <w:hyperlink r:id="rId7" w:history="1">
        <w:r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tender</w:t>
        </w:r>
        <w:r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@</w:t>
        </w:r>
        <w:proofErr w:type="spellStart"/>
        <w:r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cbk</w:t>
        </w:r>
        <w:proofErr w:type="spellEnd"/>
        <w:r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kg</w:t>
        </w:r>
      </w:hyperlink>
      <w:r>
        <w:rPr>
          <w:rStyle w:val="a3"/>
          <w:rFonts w:ascii="Times New Roman" w:eastAsia="Times New Roman" w:hAnsi="Times New Roman" w:cs="Times New Roman"/>
          <w:snapToGrid w:val="0"/>
          <w:color w:val="auto"/>
          <w:sz w:val="24"/>
          <w:szCs w:val="24"/>
          <w:u w:val="none"/>
          <w:lang w:eastAsia="ru-RU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Тендерные заявки будут вскрыты комиссией в 14:00 часов «09» апреля 2024 г. по следующему адресу: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г.Бишкек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ул.Тоголок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Молдо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54А.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25.03.2024 г.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202"/>
    <w:multiLevelType w:val="hybridMultilevel"/>
    <w:tmpl w:val="A900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4361AF"/>
    <w:multiLevelType w:val="hybridMultilevel"/>
    <w:tmpl w:val="9696A2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B774E46"/>
    <w:multiLevelType w:val="hybridMultilevel"/>
    <w:tmpl w:val="E690CFD4"/>
    <w:lvl w:ilvl="0" w:tplc="8152AF30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40963-13FB-48FC-AD14-4B85CA4A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cbk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Аалканов Нурболсун Алмазбекович</dc:creator>
  <cp:keywords/>
  <dc:description/>
  <cp:lastModifiedBy>Ибраева Назира Асанкадыровна</cp:lastModifiedBy>
  <cp:revision>18</cp:revision>
  <cp:lastPrinted>2023-11-28T10:17:00Z</cp:lastPrinted>
  <dcterms:created xsi:type="dcterms:W3CDTF">2023-11-28T10:18:00Z</dcterms:created>
  <dcterms:modified xsi:type="dcterms:W3CDTF">2024-04-01T02:55:00Z</dcterms:modified>
</cp:coreProperties>
</file>