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17CF69C7">
                <wp:simplePos x="0" y="0"/>
                <wp:positionH relativeFrom="margin">
                  <wp:posOffset>-59055</wp:posOffset>
                </wp:positionH>
                <wp:positionV relativeFrom="paragraph">
                  <wp:posOffset>83820</wp:posOffset>
                </wp:positionV>
                <wp:extent cx="6432550" cy="965200"/>
                <wp:effectExtent l="0" t="0" r="25400" b="254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E00D8" id="Прямоугольник: скругленные углы 1" o:spid="_x0000_s1026" style="position:absolute;margin-left:-4.65pt;margin-top:6.6pt;width:506.5pt;height: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NffwIAAPUEAAAOAAAAZHJzL2Uyb0RvYy54bWysVE1v2zAMvQ/YfxB0X51kTtoadYqsQYYB&#10;QVusHXpmZCn2JouapMTpfv0o2Um7j9MwHwRRpB7Jp0dfXR9azfbS+QZNycdnI86kEVg1ZlvyL4+r&#10;dxec+QCmAo1GlvxZen49f/vmqrOFnGCNupKOEYjxRWdLXodgiyzzopYt+DO00pBToWshkOm2WeWg&#10;I/RWZ5PRaJZ16CrrUEjv6XTZO/k84SslRbhTysvAdMmptpBWl9ZNXLP5FRRbB7ZuxFAG/EMVLTSG&#10;kp6glhCA7VzzB1TbCIceVTgT2GaoVCNk6oG6GY9+6+ahBitTL0SOtyea/P+DFbf7B3vvYunerlF8&#10;88RI1llfnDzR8EPMQbk2xlLh7JBYfD6xKA+BCTqc5e8n0ymRLch3OZvSM0WaMyiOt63z4aPElsVN&#10;yR3uTPWZnioxCPu1D4nKihloSTNQfeVMtZoeZg+anY9n+QA4xBL0ETJeNLhqtE4vqw3rSj6Z5lQD&#10;E0ACUxoCbVtbldybLWegt6RcEVzK7lE3VbyeGHHbzY12jLKWPF9djD8s+6AaKtmfTkf0DdX4Pjy1&#10;+gtOLG4Jvu6vJNdwRZuYRyahUttH7nu6I/EbrJ7vHXPYK9dbsWoIbQ0+3IMjRqgvGr9wR4vSSM3i&#10;sOOsRvfjb+cxnhREXs46kj4R8X0HTnKmPxnS1uU4z+OsJCOfnk/IcK89m9ces2tvkPgZ06BbkbYx&#10;PujjVjlsn2hKFzErucAIyt1TPhg3oR9JmnMhF4sURvNhIazNgxURPPIUeXw8PIGzg3ICae4Wj2MC&#10;RdJDr7WX2F4Si11A1ZwY7nkdpE6zlR5t+A/E4X1tp6iXv9X8JwAAAP//AwBQSwMEFAAGAAgAAAAh&#10;AC+slM3eAAAACgEAAA8AAABkcnMvZG93bnJldi54bWxMj8FOwzAQRO9I/IO1SNxam0RtaYhTISS4&#10;QlvE2YndJBCvo9iJU76e7ancdndGs2/y3Ww7NpnBtw4lPCwFMIOV0y3WEj6Pr4tHYD4o1KpzaCSc&#10;jYddcXuTq0y7iHszHULNKAR9piQ0IfQZ575qjFV+6XqDpJ3cYFWgdai5HlSkcNvxRIg1t6pF+tCo&#10;3rw0pvo5jFZC2Y+rX518uO/z/ms6vse4iW+1lPd38/MTsGDmcDXDBZ/QoSCm0o2oPeskLLYpOeme&#10;JsAuuhDpBlhJ03qVAC9y/r9C8QcAAP//AwBQSwECLQAUAAYACAAAACEAtoM4kv4AAADhAQAAEwAA&#10;AAAAAAAAAAAAAAAAAAAAW0NvbnRlbnRfVHlwZXNdLnhtbFBLAQItABQABgAIAAAAIQA4/SH/1gAA&#10;AJQBAAALAAAAAAAAAAAAAAAAAC8BAABfcmVscy8ucmVsc1BLAQItABQABgAIAAAAIQAyhINffwIA&#10;APUEAAAOAAAAAAAAAAAAAAAAAC4CAABkcnMvZTJvRG9jLnhtbFBLAQItABQABgAIAAAAIQAvrJTN&#10;3gAAAAoBAAAPAAAAAAAAAAAAAAAAANkEAABkcnMvZG93bnJldi54bWxQSwUGAAAAAAQABADzAAAA&#10;5AUAAAAA&#10;" filled="f" strokecolor="#385d8a" strokeweight="2pt">
                <v:path arrowok="t"/>
                <w10:wrap anchorx="margin"/>
              </v:roundrect>
            </w:pict>
          </mc:Fallback>
        </mc:AlternateContent>
      </w:r>
    </w:p>
    <w:p w14:paraId="39CA66BB" w14:textId="79A9F04B" w:rsidR="001B3D09" w:rsidRDefault="001B3D09" w:rsidP="007148DB">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1C00C8">
        <w:rPr>
          <w:rFonts w:ascii="Arial" w:hAnsi="Arial" w:cs="Arial"/>
          <w:b/>
          <w:sz w:val="20"/>
          <w:szCs w:val="20"/>
        </w:rPr>
        <w:t>Ремонтно-строительные работы</w:t>
      </w:r>
      <w:r w:rsidR="000E399D">
        <w:rPr>
          <w:rFonts w:ascii="Arial" w:hAnsi="Arial" w:cs="Arial"/>
          <w:b/>
          <w:sz w:val="20"/>
          <w:szCs w:val="20"/>
        </w:rPr>
        <w:t xml:space="preserve"> в производственном цехе</w:t>
      </w:r>
    </w:p>
    <w:p w14:paraId="0C552729" w14:textId="77777777" w:rsidR="007148DB" w:rsidRPr="006D3727" w:rsidRDefault="007148DB" w:rsidP="007148DB">
      <w:pPr>
        <w:pStyle w:val="Default"/>
        <w:rPr>
          <w:rFonts w:ascii="Arial" w:hAnsi="Arial" w:cs="Arial"/>
          <w:b/>
          <w:sz w:val="20"/>
          <w:szCs w:val="20"/>
        </w:rPr>
      </w:pPr>
    </w:p>
    <w:p w14:paraId="24D3E250" w14:textId="1DDA2167"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0E399D">
        <w:rPr>
          <w:rFonts w:ascii="Arial" w:hAnsi="Arial" w:cs="Arial"/>
          <w:b/>
          <w:sz w:val="20"/>
          <w:szCs w:val="20"/>
        </w:rPr>
        <w:t>12</w:t>
      </w:r>
      <w:r w:rsidR="00F07A6F">
        <w:rPr>
          <w:rFonts w:ascii="Arial" w:hAnsi="Arial" w:cs="Arial"/>
          <w:b/>
          <w:sz w:val="20"/>
          <w:szCs w:val="20"/>
        </w:rPr>
        <w:t>.07</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23F4A2C4"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0E399D">
        <w:rPr>
          <w:rFonts w:ascii="Arial" w:hAnsi="Arial" w:cs="Arial"/>
          <w:b/>
          <w:sz w:val="20"/>
          <w:szCs w:val="20"/>
        </w:rPr>
        <w:t>12</w:t>
      </w:r>
      <w:r w:rsidR="00F07A6F">
        <w:rPr>
          <w:rFonts w:ascii="Arial" w:hAnsi="Arial" w:cs="Arial"/>
          <w:b/>
          <w:sz w:val="20"/>
          <w:szCs w:val="20"/>
        </w:rPr>
        <w:t>.07</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38481ABD" w14:textId="088E4CF3" w:rsidR="003A7CD8" w:rsidRPr="007148DB" w:rsidRDefault="003A7CD8" w:rsidP="00A56BAB">
      <w:pPr>
        <w:overflowPunct/>
        <w:ind w:left="1701"/>
        <w:jc w:val="both"/>
        <w:textAlignment w:val="auto"/>
        <w:rPr>
          <w:rFonts w:ascii="Calibri" w:eastAsia="Calibri" w:hAnsi="Calibri" w:cs="Arial"/>
          <w:color w:val="000000"/>
          <w:lang w:val="ru-RU" w:eastAsia="en-US"/>
        </w:rPr>
      </w:pPr>
      <w:r w:rsidRPr="007148DB">
        <w:rPr>
          <w:rFonts w:ascii="Calibri" w:eastAsia="Calibri" w:hAnsi="Calibri" w:cs="Arial"/>
          <w:color w:val="000000"/>
          <w:lang w:val="ru-RU" w:eastAsia="en-US"/>
        </w:rPr>
        <w:t>Копия паспорта</w:t>
      </w:r>
      <w:r w:rsidR="001F79B8" w:rsidRPr="007148DB">
        <w:rPr>
          <w:rFonts w:ascii="Calibri" w:eastAsia="Calibri" w:hAnsi="Calibri" w:cs="Arial"/>
          <w:color w:val="000000"/>
          <w:lang w:val="ru-RU" w:eastAsia="en-US"/>
        </w:rPr>
        <w:t xml:space="preserve"> Генерального директора</w:t>
      </w:r>
      <w:r w:rsidR="00670986" w:rsidRPr="007148DB">
        <w:rPr>
          <w:rFonts w:ascii="Calibri" w:eastAsia="Calibri" w:hAnsi="Calibri" w:cs="Arial"/>
          <w:color w:val="000000"/>
          <w:lang w:val="ru-RU" w:eastAsia="en-US"/>
        </w:rPr>
        <w:t>;</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Доверенность на сотрудника, подписывающего документы (если это не ген. </w:t>
      </w:r>
      <w:proofErr w:type="spellStart"/>
      <w:r w:rsidRPr="00A56BAB">
        <w:rPr>
          <w:rFonts w:ascii="Calibri" w:eastAsia="Calibri" w:hAnsi="Calibri" w:cs="Arial"/>
          <w:color w:val="000000"/>
          <w:lang w:val="ru-RU" w:eastAsia="en-US"/>
        </w:rPr>
        <w:t>дир</w:t>
      </w:r>
      <w:proofErr w:type="spellEnd"/>
      <w:r w:rsidRPr="00A56BAB">
        <w:rPr>
          <w:rFonts w:ascii="Calibri" w:eastAsia="Calibri" w:hAnsi="Calibri" w:cs="Arial"/>
          <w:color w:val="000000"/>
          <w:lang w:val="ru-RU" w:eastAsia="en-US"/>
        </w:rPr>
        <w:t>.);</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2EEC75C2"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proofErr w:type="spellStart"/>
      <w:r w:rsidR="00DB4FC9" w:rsidRPr="00DB4FC9">
        <w:rPr>
          <w:rFonts w:ascii="Calibri" w:eastAsia="Calibri" w:hAnsi="Calibri" w:cs="Arial"/>
          <w:bCs/>
          <w:color w:val="000000"/>
          <w:u w:val="single"/>
          <w:lang w:val="ru-RU" w:eastAsia="en-US"/>
        </w:rPr>
        <w:t>CAPEX</w:t>
      </w:r>
      <w:proofErr w:type="spellEnd"/>
      <w:r w:rsidR="00DB4FC9" w:rsidRPr="00DB4FC9">
        <w:rPr>
          <w:rFonts w:ascii="Calibri" w:eastAsia="Calibri" w:hAnsi="Calibri" w:cs="Arial"/>
          <w:bCs/>
          <w:color w:val="000000"/>
          <w:u w:val="single"/>
          <w:lang w:val="ru-RU" w:eastAsia="en-US"/>
        </w:rPr>
        <w:t xml:space="preserve"> закупки - 30% аванс и 70% </w:t>
      </w:r>
      <w:proofErr w:type="spellStart"/>
      <w:r w:rsidR="00DB4FC9" w:rsidRPr="00DB4FC9">
        <w:rPr>
          <w:rFonts w:ascii="Calibri" w:eastAsia="Calibri" w:hAnsi="Calibri" w:cs="Arial"/>
          <w:bCs/>
          <w:color w:val="000000"/>
          <w:u w:val="single"/>
          <w:lang w:val="ru-RU" w:eastAsia="en-US"/>
        </w:rPr>
        <w:t>постоплата</w:t>
      </w:r>
      <w:proofErr w:type="spellEnd"/>
      <w:r w:rsidR="00DB4FC9" w:rsidRPr="00DB4FC9">
        <w:rPr>
          <w:rFonts w:ascii="Calibri" w:eastAsia="Calibri" w:hAnsi="Calibri" w:cs="Arial"/>
          <w:bCs/>
          <w:color w:val="000000"/>
          <w:u w:val="single"/>
          <w:lang w:val="ru-RU" w:eastAsia="en-US"/>
        </w:rPr>
        <w:t xml:space="preserve"> с отсрочкой 60 календарных дней.</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1A159807" w:rsidR="008318D8" w:rsidRPr="003A78B1" w:rsidRDefault="00F97EC2" w:rsidP="008318D8">
      <w:pPr>
        <w:pStyle w:val="Default"/>
        <w:jc w:val="both"/>
        <w:rPr>
          <w:rFonts w:ascii="Calibri" w:hAnsi="Calibri" w:cs="Arial"/>
          <w:sz w:val="20"/>
          <w:szCs w:val="20"/>
          <w:lang w:val="ky-KG"/>
        </w:rPr>
      </w:pPr>
      <w:r>
        <w:rPr>
          <w:rFonts w:ascii="Calibri" w:hAnsi="Calibri" w:cs="Arial"/>
          <w:sz w:val="20"/>
          <w:szCs w:val="20"/>
        </w:rPr>
        <w:t>Менеджер проектов</w:t>
      </w:r>
      <w:r w:rsidR="008318D8">
        <w:rPr>
          <w:rFonts w:ascii="Calibri" w:hAnsi="Calibri" w:cs="Arial"/>
          <w:sz w:val="20"/>
          <w:szCs w:val="20"/>
          <w:lang w:val="ky-KG"/>
        </w:rPr>
        <w:t xml:space="preserve">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54F74814"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283D01">
        <w:rPr>
          <w:rFonts w:ascii="Calibri" w:eastAsia="Calibri" w:hAnsi="Calibri" w:cs="Arial"/>
          <w:b/>
          <w:bCs/>
          <w:color w:val="000000"/>
          <w:lang w:val="ru-RU" w:eastAsia="en-US"/>
        </w:rPr>
        <w:t>12</w:t>
      </w:r>
      <w:r w:rsidR="00F07A6F">
        <w:rPr>
          <w:rFonts w:ascii="Calibri" w:eastAsia="Calibri" w:hAnsi="Calibri" w:cs="Arial"/>
          <w:b/>
          <w:color w:val="000000"/>
          <w:lang w:val="ru-RU" w:eastAsia="en-US"/>
        </w:rPr>
        <w:t>.07</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w:t>
      </w:r>
      <w:r w:rsidRPr="00185342">
        <w:rPr>
          <w:rFonts w:ascii="Calibri" w:eastAsia="Calibri" w:hAnsi="Calibri" w:cs="Arial"/>
          <w:color w:val="000000"/>
          <w:lang w:val="ru-RU" w:eastAsia="en-US"/>
        </w:rPr>
        <w:lastRenderedPageBreak/>
        <w:t xml:space="preserve">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51E4C520" w:rsidR="00F21777" w:rsidRDefault="00012B45" w:rsidP="00330931">
            <w:pPr>
              <w:ind w:firstLine="317"/>
              <w:jc w:val="both"/>
              <w:rPr>
                <w:snapToGrid w:val="0"/>
                <w:color w:val="000000"/>
                <w:lang w:val="en-GB"/>
              </w:rPr>
            </w:pPr>
            <w:r>
              <w:rPr>
                <w:snapToGrid w:val="0"/>
                <w:color w:val="000000"/>
                <w:highlight w:val="yellow"/>
              </w:rPr>
              <w:t>Ta</w:t>
            </w:r>
            <w:r w:rsidR="002D0F06">
              <w:rPr>
                <w:snapToGrid w:val="0"/>
                <w:color w:val="000000"/>
                <w:highlight w:val="yellow"/>
              </w:rPr>
              <w:t>x ID</w:t>
            </w:r>
            <w:r w:rsidR="00F21777"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0E68554C"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w:t>
            </w:r>
            <w:r w:rsidR="00B00B83" w:rsidRPr="007148DB">
              <w:rPr>
                <w:lang w:val="ru-RU"/>
              </w:rPr>
              <w:t xml:space="preserve"> Долгова </w:t>
            </w:r>
            <w:proofErr w:type="spellStart"/>
            <w:r w:rsidR="00B00B83" w:rsidRPr="007148DB">
              <w:rPr>
                <w:lang w:val="ru-RU"/>
              </w:rPr>
              <w:t>К.В</w:t>
            </w:r>
            <w:proofErr w:type="spellEnd"/>
            <w:r w:rsidR="00B00B83" w:rsidRPr="007148DB">
              <w:rPr>
                <w:lang w:val="ru-RU"/>
              </w:rPr>
              <w:t>.</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09522014"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B00B83">
              <w:rPr>
                <w:snapToGrid w:val="0"/>
                <w:color w:val="000000"/>
              </w:rPr>
              <w:t xml:space="preserve"> Dol</w:t>
            </w:r>
            <w:r w:rsidR="00012B45">
              <w:rPr>
                <w:snapToGrid w:val="0"/>
                <w:color w:val="000000"/>
              </w:rPr>
              <w:t xml:space="preserve">gov </w:t>
            </w:r>
            <w:proofErr w:type="spellStart"/>
            <w:r w:rsidR="00012B45">
              <w:rPr>
                <w:snapToGrid w:val="0"/>
                <w:color w:val="000000"/>
              </w:rPr>
              <w:t>K.V</w:t>
            </w:r>
            <w:proofErr w:type="spellEnd"/>
            <w:r w:rsidR="00012B45">
              <w:rPr>
                <w:snapToGrid w:val="0"/>
                <w:color w:val="000000"/>
              </w:rPr>
              <w:t>.</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58241"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12B45"/>
    <w:rsid w:val="00071BC9"/>
    <w:rsid w:val="000B5AD9"/>
    <w:rsid w:val="000E399D"/>
    <w:rsid w:val="000F2FDA"/>
    <w:rsid w:val="00101909"/>
    <w:rsid w:val="00173BE8"/>
    <w:rsid w:val="001B3D09"/>
    <w:rsid w:val="001C00C8"/>
    <w:rsid w:val="001C0602"/>
    <w:rsid w:val="001C4018"/>
    <w:rsid w:val="001F79B8"/>
    <w:rsid w:val="00206975"/>
    <w:rsid w:val="00283D01"/>
    <w:rsid w:val="00290389"/>
    <w:rsid w:val="002D0F06"/>
    <w:rsid w:val="003421A6"/>
    <w:rsid w:val="003A7CD8"/>
    <w:rsid w:val="003E40EC"/>
    <w:rsid w:val="003F1B6E"/>
    <w:rsid w:val="00421FB4"/>
    <w:rsid w:val="00425BCA"/>
    <w:rsid w:val="00433048"/>
    <w:rsid w:val="00434FFA"/>
    <w:rsid w:val="00447D9F"/>
    <w:rsid w:val="004F0550"/>
    <w:rsid w:val="00543487"/>
    <w:rsid w:val="005720BA"/>
    <w:rsid w:val="005743CE"/>
    <w:rsid w:val="005E7F72"/>
    <w:rsid w:val="00627F21"/>
    <w:rsid w:val="00647E21"/>
    <w:rsid w:val="00654992"/>
    <w:rsid w:val="0066028F"/>
    <w:rsid w:val="00670986"/>
    <w:rsid w:val="00673A8C"/>
    <w:rsid w:val="00691377"/>
    <w:rsid w:val="006D3727"/>
    <w:rsid w:val="006E521B"/>
    <w:rsid w:val="007148DB"/>
    <w:rsid w:val="007A34BB"/>
    <w:rsid w:val="007D4BBA"/>
    <w:rsid w:val="007D5189"/>
    <w:rsid w:val="007F344E"/>
    <w:rsid w:val="00827270"/>
    <w:rsid w:val="008274C1"/>
    <w:rsid w:val="008318D8"/>
    <w:rsid w:val="00866EB0"/>
    <w:rsid w:val="008E6ED5"/>
    <w:rsid w:val="00950432"/>
    <w:rsid w:val="00952710"/>
    <w:rsid w:val="0096441B"/>
    <w:rsid w:val="00A035D1"/>
    <w:rsid w:val="00A37A1B"/>
    <w:rsid w:val="00A56BAB"/>
    <w:rsid w:val="00A60BC2"/>
    <w:rsid w:val="00A86879"/>
    <w:rsid w:val="00A964AC"/>
    <w:rsid w:val="00AA0328"/>
    <w:rsid w:val="00AD6098"/>
    <w:rsid w:val="00B00B83"/>
    <w:rsid w:val="00B45F52"/>
    <w:rsid w:val="00B66DAB"/>
    <w:rsid w:val="00B772CD"/>
    <w:rsid w:val="00BC1C6A"/>
    <w:rsid w:val="00BF6C7E"/>
    <w:rsid w:val="00C16790"/>
    <w:rsid w:val="00C55498"/>
    <w:rsid w:val="00C74EB9"/>
    <w:rsid w:val="00C81E3A"/>
    <w:rsid w:val="00D464FB"/>
    <w:rsid w:val="00DB4FC9"/>
    <w:rsid w:val="00DC3B71"/>
    <w:rsid w:val="00DD21DD"/>
    <w:rsid w:val="00DE72CA"/>
    <w:rsid w:val="00E67ADB"/>
    <w:rsid w:val="00EA4C49"/>
    <w:rsid w:val="00EA7BE9"/>
    <w:rsid w:val="00ED2BB5"/>
    <w:rsid w:val="00F07A6F"/>
    <w:rsid w:val="00F21777"/>
    <w:rsid w:val="00F4762D"/>
    <w:rsid w:val="00F62C3B"/>
    <w:rsid w:val="00F67767"/>
    <w:rsid w:val="00F85C9C"/>
    <w:rsid w:val="00F9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52F47D760D36340B1C3C42D9E1A12D2" ma:contentTypeVersion="14" ma:contentTypeDescription="Создание документа." ma:contentTypeScope="" ma:versionID="b7eb4f4268bdc5302c904835f9941f03">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7d9ba997783148040c48bdc948a6afcb"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2.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3.xml><?xml version="1.0" encoding="utf-8"?>
<ds:datastoreItem xmlns:ds="http://schemas.openxmlformats.org/officeDocument/2006/customXml" ds:itemID="{695E6B87-7D24-4684-A645-F9C7180B86FD}"/>
</file>

<file path=docProps/app.xml><?xml version="1.0" encoding="utf-8"?>
<Properties xmlns="http://schemas.openxmlformats.org/officeDocument/2006/extended-properties" xmlns:vt="http://schemas.openxmlformats.org/officeDocument/2006/docPropsVTypes">
  <Template>Normal</Template>
  <TotalTime>26</TotalTime>
  <Pages>10</Pages>
  <Words>6180</Words>
  <Characters>35229</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29</cp:revision>
  <dcterms:created xsi:type="dcterms:W3CDTF">2024-05-07T08:12:00Z</dcterms:created>
  <dcterms:modified xsi:type="dcterms:W3CDTF">2024-07-02T05:08:00Z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