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4"/>
      </w:tblGrid>
      <w:tr w:rsidR="007D6BD4" w:rsidRPr="00502E74" w:rsidTr="00D00E11">
        <w:tc>
          <w:tcPr>
            <w:tcW w:w="3936" w:type="dxa"/>
          </w:tcPr>
          <w:p w:rsidR="007D6BD4" w:rsidRPr="00502E74" w:rsidRDefault="007D6BD4" w:rsidP="00D00E11">
            <w:pPr>
              <w:rPr>
                <w:rFonts w:ascii="Calibri" w:hAnsi="Calibri"/>
                <w:noProof/>
              </w:rPr>
            </w:pPr>
            <w:r w:rsidRPr="00502E74">
              <w:rPr>
                <w:rFonts w:ascii="Calibri" w:hAnsi="Calibri"/>
                <w:noProof/>
              </w:rPr>
              <w:drawing>
                <wp:inline distT="0" distB="0" distL="0" distR="0">
                  <wp:extent cx="2108200" cy="889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4" w:type="dxa"/>
          </w:tcPr>
          <w:p w:rsidR="007D6BD4" w:rsidRPr="00502E74" w:rsidRDefault="007D6BD4" w:rsidP="00D00E11">
            <w:pPr>
              <w:jc w:val="center"/>
              <w:rPr>
                <w:rFonts w:ascii="Calibri" w:hAnsi="Calibri" w:cs="Arial"/>
                <w:b/>
                <w:caps/>
              </w:rPr>
            </w:pPr>
          </w:p>
          <w:p w:rsidR="007D6BD4" w:rsidRPr="00502E74" w:rsidRDefault="007D6BD4" w:rsidP="00D00E11">
            <w:pPr>
              <w:jc w:val="center"/>
              <w:rPr>
                <w:rFonts w:ascii="Calibri" w:hAnsi="Calibri" w:cs="Arial"/>
                <w:b/>
                <w:caps/>
              </w:rPr>
            </w:pPr>
          </w:p>
          <w:p w:rsidR="007D6BD4" w:rsidRPr="00502E74" w:rsidRDefault="007D6BD4" w:rsidP="00D00E11">
            <w:pPr>
              <w:jc w:val="center"/>
              <w:rPr>
                <w:rFonts w:ascii="Calibri" w:hAnsi="Calibri" w:cs="Arial"/>
                <w:b/>
                <w:caps/>
              </w:rPr>
            </w:pPr>
          </w:p>
          <w:p w:rsidR="007D6BD4" w:rsidRPr="00502E74" w:rsidRDefault="007D6BD4" w:rsidP="00D00E11">
            <w:pPr>
              <w:jc w:val="center"/>
              <w:rPr>
                <w:rFonts w:ascii="Calibri" w:hAnsi="Calibri" w:cs="Arial"/>
                <w:b/>
                <w:caps/>
              </w:rPr>
            </w:pPr>
            <w:r w:rsidRPr="00502E74">
              <w:rPr>
                <w:rFonts w:ascii="Calibri" w:hAnsi="Calibri" w:cs="Arial"/>
                <w:b/>
                <w:caps/>
              </w:rPr>
              <w:t>Техническое задание</w:t>
            </w:r>
          </w:p>
          <w:p w:rsidR="007D6BD4" w:rsidRPr="00502E74" w:rsidRDefault="007D6BD4" w:rsidP="00D00E11">
            <w:pPr>
              <w:jc w:val="center"/>
              <w:rPr>
                <w:rFonts w:ascii="Calibri" w:hAnsi="Calibri"/>
                <w:noProof/>
              </w:rPr>
            </w:pPr>
          </w:p>
        </w:tc>
      </w:tr>
    </w:tbl>
    <w:p w:rsidR="007D6BD4" w:rsidRPr="00502E74" w:rsidRDefault="007D6BD4" w:rsidP="007D6BD4">
      <w:pPr>
        <w:pBdr>
          <w:bottom w:val="single" w:sz="12" w:space="1" w:color="auto"/>
        </w:pBdr>
        <w:rPr>
          <w:rFonts w:ascii="Calibri" w:hAnsi="Calibri" w:cs="Arial"/>
          <w:b/>
        </w:rPr>
      </w:pPr>
    </w:p>
    <w:p w:rsidR="007D6BD4" w:rsidRPr="00502E74" w:rsidRDefault="007D6BD4" w:rsidP="007D6BD4">
      <w:pPr>
        <w:jc w:val="center"/>
        <w:rPr>
          <w:rFonts w:ascii="Calibri" w:hAnsi="Calibri" w:cs="Arial"/>
          <w:b/>
        </w:rPr>
      </w:pPr>
    </w:p>
    <w:tbl>
      <w:tblPr>
        <w:tblW w:w="9648" w:type="dxa"/>
        <w:tblBorders>
          <w:insideH w:val="single" w:sz="18" w:space="0" w:color="FFFFFF"/>
          <w:insideV w:val="single" w:sz="18" w:space="0" w:color="FFFFFF"/>
        </w:tblBorders>
        <w:shd w:val="clear" w:color="auto" w:fill="FFFFFF"/>
        <w:tblLook w:val="0000" w:firstRow="0" w:lastRow="0" w:firstColumn="0" w:lastColumn="0" w:noHBand="0" w:noVBand="0"/>
      </w:tblPr>
      <w:tblGrid>
        <w:gridCol w:w="2808"/>
        <w:gridCol w:w="6840"/>
      </w:tblGrid>
      <w:tr w:rsidR="007D6BD4" w:rsidRPr="007E2EC3" w:rsidTr="00D00E11">
        <w:tc>
          <w:tcPr>
            <w:tcW w:w="2808" w:type="dxa"/>
            <w:shd w:val="clear" w:color="auto" w:fill="FFFFFF"/>
          </w:tcPr>
          <w:p w:rsidR="007D6BD4" w:rsidRPr="007E2EC3" w:rsidRDefault="007D6BD4" w:rsidP="00D00E11">
            <w:pPr>
              <w:spacing w:line="276" w:lineRule="auto"/>
              <w:rPr>
                <w:bCs/>
                <w:iCs/>
                <w:u w:val="single"/>
              </w:rPr>
            </w:pPr>
            <w:r w:rsidRPr="007E2EC3">
              <w:rPr>
                <w:bCs/>
                <w:iCs/>
                <w:u w:val="single"/>
              </w:rPr>
              <w:t xml:space="preserve">Название Проекта: </w:t>
            </w:r>
          </w:p>
        </w:tc>
        <w:tc>
          <w:tcPr>
            <w:tcW w:w="6840" w:type="dxa"/>
            <w:shd w:val="clear" w:color="auto" w:fill="FFFFFF"/>
          </w:tcPr>
          <w:p w:rsidR="007D6BD4" w:rsidRPr="007E2EC3" w:rsidRDefault="00B32D18" w:rsidP="00D00E11">
            <w:pPr>
              <w:rPr>
                <w:bCs/>
                <w:iCs/>
              </w:rPr>
            </w:pPr>
            <w:r w:rsidRPr="00307BED">
              <w:rPr>
                <w:b/>
                <w:color w:val="000000" w:themeColor="text1"/>
                <w:sz w:val="22"/>
                <w:szCs w:val="22"/>
              </w:rPr>
              <w:t>«Ра</w:t>
            </w:r>
            <w:r>
              <w:rPr>
                <w:b/>
                <w:color w:val="000000" w:themeColor="text1"/>
                <w:sz w:val="22"/>
                <w:szCs w:val="22"/>
              </w:rPr>
              <w:t>сширение возможностей сообще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 xml:space="preserve">ств </w:t>
            </w:r>
            <w:r w:rsidRPr="00307BED">
              <w:rPr>
                <w:b/>
                <w:color w:val="000000" w:themeColor="text1"/>
                <w:sz w:val="22"/>
                <w:szCs w:val="22"/>
              </w:rPr>
              <w:t>дл</w:t>
            </w:r>
            <w:proofErr w:type="gramEnd"/>
            <w:r w:rsidRPr="00307BED">
              <w:rPr>
                <w:b/>
                <w:color w:val="000000" w:themeColor="text1"/>
                <w:sz w:val="22"/>
                <w:szCs w:val="22"/>
              </w:rPr>
              <w:t>я созидания и сплоченности»</w:t>
            </w:r>
          </w:p>
        </w:tc>
      </w:tr>
      <w:tr w:rsidR="007D6BD4" w:rsidRPr="007E2EC3" w:rsidTr="00D00E11">
        <w:tc>
          <w:tcPr>
            <w:tcW w:w="2808" w:type="dxa"/>
            <w:shd w:val="clear" w:color="auto" w:fill="FFFFFF"/>
          </w:tcPr>
          <w:p w:rsidR="005821A2" w:rsidRDefault="005821A2" w:rsidP="00D00E11">
            <w:pPr>
              <w:spacing w:line="276" w:lineRule="auto"/>
              <w:rPr>
                <w:bCs/>
                <w:iCs/>
                <w:u w:val="single"/>
              </w:rPr>
            </w:pPr>
          </w:p>
          <w:p w:rsidR="007D6BD4" w:rsidRPr="007E2EC3" w:rsidRDefault="007D6BD4" w:rsidP="00D00E11">
            <w:pPr>
              <w:spacing w:line="276" w:lineRule="auto"/>
              <w:rPr>
                <w:bCs/>
                <w:iCs/>
                <w:u w:val="single"/>
              </w:rPr>
            </w:pPr>
            <w:r w:rsidRPr="007E2EC3">
              <w:rPr>
                <w:bCs/>
                <w:iCs/>
                <w:u w:val="single"/>
              </w:rPr>
              <w:t>Агентство-заказчик:</w:t>
            </w:r>
          </w:p>
        </w:tc>
        <w:tc>
          <w:tcPr>
            <w:tcW w:w="6840" w:type="dxa"/>
            <w:shd w:val="clear" w:color="auto" w:fill="FFFFFF"/>
          </w:tcPr>
          <w:p w:rsidR="005821A2" w:rsidRDefault="00B32D18" w:rsidP="00D00E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:rsidR="007D6BD4" w:rsidRPr="007E2EC3" w:rsidRDefault="00B32D18" w:rsidP="00D00E11">
            <w:pPr>
              <w:rPr>
                <w:bCs/>
                <w:iCs/>
              </w:rPr>
            </w:pPr>
            <w:r>
              <w:rPr>
                <w:bCs/>
                <w:iCs/>
              </w:rPr>
              <w:t>ЮНИСЕФ</w:t>
            </w:r>
          </w:p>
        </w:tc>
      </w:tr>
      <w:tr w:rsidR="007D6BD4" w:rsidRPr="007E2EC3" w:rsidTr="00D00E11">
        <w:tc>
          <w:tcPr>
            <w:tcW w:w="2808" w:type="dxa"/>
            <w:shd w:val="clear" w:color="auto" w:fill="FFFFFF"/>
          </w:tcPr>
          <w:p w:rsidR="005821A2" w:rsidRDefault="005821A2" w:rsidP="00D00E11">
            <w:pPr>
              <w:rPr>
                <w:bCs/>
                <w:iCs/>
                <w:u w:val="single"/>
              </w:rPr>
            </w:pPr>
          </w:p>
          <w:p w:rsidR="007D6BD4" w:rsidRPr="007E2EC3" w:rsidRDefault="007D6BD4" w:rsidP="00D00E11">
            <w:pPr>
              <w:rPr>
                <w:bCs/>
                <w:iCs/>
                <w:u w:val="single"/>
              </w:rPr>
            </w:pPr>
            <w:r w:rsidRPr="007E2EC3">
              <w:rPr>
                <w:bCs/>
                <w:iCs/>
                <w:u w:val="single"/>
              </w:rPr>
              <w:t xml:space="preserve">Должность: </w:t>
            </w:r>
          </w:p>
        </w:tc>
        <w:tc>
          <w:tcPr>
            <w:tcW w:w="6840" w:type="dxa"/>
            <w:shd w:val="clear" w:color="auto" w:fill="FFFFFF"/>
          </w:tcPr>
          <w:p w:rsidR="005821A2" w:rsidRDefault="005D7E11" w:rsidP="00AE0374">
            <w:pPr>
              <w:rPr>
                <w:bCs/>
                <w:iCs/>
              </w:rPr>
            </w:pPr>
            <w:r w:rsidRPr="007E2EC3">
              <w:rPr>
                <w:bCs/>
                <w:iCs/>
              </w:rPr>
              <w:t xml:space="preserve"> </w:t>
            </w:r>
          </w:p>
          <w:p w:rsidR="007D6BD4" w:rsidRPr="007E2EC3" w:rsidRDefault="00AE0374" w:rsidP="00AE0374">
            <w:pPr>
              <w:rPr>
                <w:bCs/>
                <w:iCs/>
              </w:rPr>
            </w:pPr>
            <w:r w:rsidRPr="007E2EC3">
              <w:rPr>
                <w:bCs/>
                <w:iCs/>
              </w:rPr>
              <w:t>С</w:t>
            </w:r>
            <w:r w:rsidR="005D7E11" w:rsidRPr="007E2EC3">
              <w:rPr>
                <w:bCs/>
                <w:iCs/>
              </w:rPr>
              <w:t xml:space="preserve">пециалист по </w:t>
            </w:r>
            <w:r w:rsidRPr="007E2EC3">
              <w:rPr>
                <w:bCs/>
                <w:iCs/>
              </w:rPr>
              <w:t>закупу</w:t>
            </w:r>
            <w:r w:rsidR="00255152">
              <w:rPr>
                <w:bCs/>
                <w:iCs/>
              </w:rPr>
              <w:t xml:space="preserve"> и технической  поддержке грантов</w:t>
            </w:r>
          </w:p>
        </w:tc>
      </w:tr>
      <w:tr w:rsidR="007D6BD4" w:rsidRPr="007E2EC3" w:rsidTr="00D00E11">
        <w:tc>
          <w:tcPr>
            <w:tcW w:w="2808" w:type="dxa"/>
            <w:shd w:val="clear" w:color="auto" w:fill="FFFFFF"/>
          </w:tcPr>
          <w:p w:rsidR="007D6BD4" w:rsidRPr="007E2EC3" w:rsidRDefault="007D6BD4" w:rsidP="00D00E11">
            <w:pPr>
              <w:rPr>
                <w:bCs/>
                <w:iCs/>
                <w:u w:val="single"/>
              </w:rPr>
            </w:pPr>
          </w:p>
        </w:tc>
        <w:tc>
          <w:tcPr>
            <w:tcW w:w="6840" w:type="dxa"/>
            <w:shd w:val="clear" w:color="auto" w:fill="FFFFFF"/>
          </w:tcPr>
          <w:p w:rsidR="007D6BD4" w:rsidRPr="007E2EC3" w:rsidRDefault="007D6BD4" w:rsidP="00D00E11">
            <w:pPr>
              <w:rPr>
                <w:bCs/>
                <w:iCs/>
              </w:rPr>
            </w:pPr>
          </w:p>
        </w:tc>
      </w:tr>
      <w:tr w:rsidR="007D6BD4" w:rsidRPr="007E2EC3" w:rsidTr="00D00E11">
        <w:tc>
          <w:tcPr>
            <w:tcW w:w="2808" w:type="dxa"/>
            <w:shd w:val="clear" w:color="auto" w:fill="FFFFFF"/>
          </w:tcPr>
          <w:p w:rsidR="007D6BD4" w:rsidRDefault="007D6BD4" w:rsidP="00D00E11">
            <w:pPr>
              <w:rPr>
                <w:bCs/>
                <w:iCs/>
                <w:u w:val="single"/>
              </w:rPr>
            </w:pPr>
            <w:r w:rsidRPr="007E2EC3">
              <w:rPr>
                <w:bCs/>
                <w:iCs/>
                <w:u w:val="single"/>
              </w:rPr>
              <w:t>Место осуществления деятельности:</w:t>
            </w:r>
          </w:p>
          <w:p w:rsidR="00792EF9" w:rsidRPr="007E2EC3" w:rsidRDefault="00792EF9" w:rsidP="00D00E11">
            <w:pPr>
              <w:rPr>
                <w:bCs/>
                <w:iCs/>
                <w:u w:val="single"/>
              </w:rPr>
            </w:pPr>
          </w:p>
        </w:tc>
        <w:tc>
          <w:tcPr>
            <w:tcW w:w="6840" w:type="dxa"/>
            <w:shd w:val="clear" w:color="auto" w:fill="FFFFFF"/>
          </w:tcPr>
          <w:p w:rsidR="007D6BD4" w:rsidRPr="007E2EC3" w:rsidRDefault="00AF0CC1" w:rsidP="00D00E11">
            <w:pPr>
              <w:rPr>
                <w:bCs/>
                <w:iCs/>
              </w:rPr>
            </w:pPr>
            <w:r w:rsidRPr="007E2EC3">
              <w:rPr>
                <w:bCs/>
                <w:iCs/>
              </w:rPr>
              <w:t>Бишкек</w:t>
            </w:r>
          </w:p>
        </w:tc>
      </w:tr>
    </w:tbl>
    <w:p w:rsidR="007D6BD4" w:rsidRPr="007E2EC3" w:rsidRDefault="005821A2" w:rsidP="007D6BD4">
      <w:pPr>
        <w:jc w:val="both"/>
        <w:rPr>
          <w:bCs/>
          <w:iCs/>
        </w:rPr>
      </w:pPr>
      <w:r w:rsidRPr="00792EF9">
        <w:rPr>
          <w:bCs/>
          <w:iCs/>
          <w:u w:val="single"/>
        </w:rPr>
        <w:t>Срок проведения работ</w:t>
      </w:r>
      <w:r>
        <w:rPr>
          <w:bCs/>
          <w:iCs/>
        </w:rPr>
        <w:t xml:space="preserve">:     1,5 месяца </w:t>
      </w:r>
      <w:r w:rsidR="00792EF9">
        <w:rPr>
          <w:bCs/>
          <w:iCs/>
        </w:rPr>
        <w:t>(декабрь-январь)</w:t>
      </w:r>
      <w:r>
        <w:rPr>
          <w:bCs/>
          <w:iCs/>
        </w:rPr>
        <w:t xml:space="preserve"> </w:t>
      </w:r>
    </w:p>
    <w:p w:rsidR="005821A2" w:rsidRPr="00792EF9" w:rsidRDefault="007D6BD4" w:rsidP="00792EF9">
      <w:pPr>
        <w:pBdr>
          <w:bottom w:val="dotted" w:sz="6" w:space="2" w:color="666666"/>
        </w:pBdr>
        <w:spacing w:before="75" w:after="45" w:line="312" w:lineRule="auto"/>
        <w:outlineLvl w:val="2"/>
        <w:rPr>
          <w:b/>
          <w:bCs/>
          <w:iCs/>
        </w:rPr>
      </w:pPr>
      <w:r w:rsidRPr="007E2EC3">
        <w:rPr>
          <w:b/>
          <w:bCs/>
          <w:iCs/>
        </w:rPr>
        <w:t>Введение</w:t>
      </w:r>
    </w:p>
    <w:p w:rsidR="005821A2" w:rsidRPr="000011C3" w:rsidRDefault="005821A2" w:rsidP="005821A2">
      <w:pPr>
        <w:spacing w:before="100" w:beforeAutospacing="1" w:after="100" w:afterAutospacing="1"/>
        <w:rPr>
          <w:sz w:val="20"/>
          <w:szCs w:val="20"/>
        </w:rPr>
      </w:pPr>
      <w:r w:rsidRPr="000011C3">
        <w:rPr>
          <w:sz w:val="20"/>
          <w:szCs w:val="20"/>
        </w:rPr>
        <w:t>Проект направлен на охват молодежи и взрослых людей из семей репатриантов, а также из обычных семей отобранных пилотных сообществ. Примерно равное количество участников будет мобилизовано из семей репатриантов и местных жителей. Проект создаст условия для совместного обучения, диалога, сотрудничества и взаимодействия с целью предупреждения детских браков и развития мирных, толерантных сообществ.</w:t>
      </w:r>
    </w:p>
    <w:p w:rsidR="005821A2" w:rsidRPr="000011C3" w:rsidRDefault="005821A2" w:rsidP="005821A2">
      <w:pPr>
        <w:spacing w:before="100" w:beforeAutospacing="1" w:after="100" w:afterAutospacing="1"/>
        <w:rPr>
          <w:sz w:val="20"/>
          <w:szCs w:val="20"/>
        </w:rPr>
      </w:pPr>
      <w:r w:rsidRPr="000011C3">
        <w:rPr>
          <w:sz w:val="20"/>
          <w:szCs w:val="20"/>
        </w:rPr>
        <w:t xml:space="preserve">Будет создано 20 Групп Взаимопомощи (ГВП) из числа репатриантов и жителей сообществ, включающих молодежь и взрослых. </w:t>
      </w:r>
    </w:p>
    <w:p w:rsidR="005821A2" w:rsidRPr="000011C3" w:rsidRDefault="005821A2" w:rsidP="005821A2">
      <w:pPr>
        <w:spacing w:before="100" w:beforeAutospacing="1" w:after="100" w:afterAutospacing="1"/>
        <w:rPr>
          <w:sz w:val="20"/>
          <w:szCs w:val="20"/>
        </w:rPr>
      </w:pPr>
      <w:r w:rsidRPr="000011C3">
        <w:rPr>
          <w:sz w:val="20"/>
          <w:szCs w:val="20"/>
        </w:rPr>
        <w:t xml:space="preserve">В рамках проекта будут использованы инновационные методологи по расширению возможностей такие как </w:t>
      </w:r>
      <w:r w:rsidRPr="000011C3">
        <w:rPr>
          <w:sz w:val="20"/>
          <w:szCs w:val="20"/>
          <w:lang w:val="en-US"/>
        </w:rPr>
        <w:t>GALS</w:t>
      </w:r>
      <w:r w:rsidRPr="000011C3">
        <w:rPr>
          <w:sz w:val="20"/>
          <w:szCs w:val="20"/>
        </w:rPr>
        <w:t xml:space="preserve">, Позитивное </w:t>
      </w:r>
      <w:proofErr w:type="spellStart"/>
      <w:r w:rsidRPr="000011C3">
        <w:rPr>
          <w:sz w:val="20"/>
          <w:szCs w:val="20"/>
        </w:rPr>
        <w:t>Девиантство</w:t>
      </w:r>
      <w:proofErr w:type="spellEnd"/>
      <w:r w:rsidRPr="000011C3">
        <w:rPr>
          <w:sz w:val="20"/>
          <w:szCs w:val="20"/>
        </w:rPr>
        <w:t xml:space="preserve">, Дизайн Мышление. Такой подход позволит организовать процесс, объединяющие людей на основе принципа совместного участия </w:t>
      </w:r>
      <w:proofErr w:type="gramStart"/>
      <w:r w:rsidRPr="000011C3">
        <w:rPr>
          <w:sz w:val="20"/>
          <w:szCs w:val="20"/>
        </w:rPr>
        <w:t>для  достижения</w:t>
      </w:r>
      <w:proofErr w:type="gramEnd"/>
      <w:r w:rsidRPr="000011C3">
        <w:rPr>
          <w:sz w:val="20"/>
          <w:szCs w:val="20"/>
        </w:rPr>
        <w:t xml:space="preserve"> наиболее устойчивых результатов. </w:t>
      </w:r>
    </w:p>
    <w:p w:rsidR="005821A2" w:rsidRPr="000011C3" w:rsidRDefault="005821A2" w:rsidP="005821A2">
      <w:pPr>
        <w:spacing w:before="100" w:beforeAutospacing="1" w:after="100" w:afterAutospacing="1"/>
        <w:rPr>
          <w:sz w:val="20"/>
          <w:szCs w:val="20"/>
        </w:rPr>
      </w:pPr>
      <w:r w:rsidRPr="000011C3">
        <w:rPr>
          <w:sz w:val="20"/>
          <w:szCs w:val="20"/>
        </w:rPr>
        <w:t xml:space="preserve">В рамках проекта также будут осуществлена программа обучения по жизненным навыкам и личностному росту, направленные на формирование знаний и навыков в области </w:t>
      </w:r>
      <w:proofErr w:type="spellStart"/>
      <w:r w:rsidRPr="000011C3">
        <w:rPr>
          <w:sz w:val="20"/>
          <w:szCs w:val="20"/>
        </w:rPr>
        <w:t>миростроительства</w:t>
      </w:r>
      <w:proofErr w:type="spellEnd"/>
      <w:r w:rsidRPr="000011C3">
        <w:rPr>
          <w:sz w:val="20"/>
          <w:szCs w:val="20"/>
        </w:rPr>
        <w:t>, толерантности, командной работы и сотрудничества</w:t>
      </w:r>
      <w:proofErr w:type="gramStart"/>
      <w:r w:rsidRPr="000011C3">
        <w:rPr>
          <w:sz w:val="20"/>
          <w:szCs w:val="20"/>
        </w:rPr>
        <w:t xml:space="preserve">.. </w:t>
      </w:r>
      <w:proofErr w:type="gramEnd"/>
      <w:r w:rsidRPr="000011C3">
        <w:rPr>
          <w:sz w:val="20"/>
          <w:szCs w:val="20"/>
        </w:rPr>
        <w:t xml:space="preserve">Программа нацелена на формирование толерантных, миролюбивых и ответственных граждан с развитым чувством </w:t>
      </w:r>
      <w:proofErr w:type="spellStart"/>
      <w:r w:rsidRPr="000011C3">
        <w:rPr>
          <w:sz w:val="20"/>
          <w:szCs w:val="20"/>
        </w:rPr>
        <w:t>эмпатии</w:t>
      </w:r>
      <w:proofErr w:type="spellEnd"/>
      <w:r w:rsidRPr="000011C3">
        <w:rPr>
          <w:sz w:val="20"/>
          <w:szCs w:val="20"/>
        </w:rPr>
        <w:t xml:space="preserve"> и гражданственности.</w:t>
      </w:r>
    </w:p>
    <w:p w:rsidR="005821A2" w:rsidRPr="000011C3" w:rsidRDefault="005821A2" w:rsidP="005821A2">
      <w:pPr>
        <w:spacing w:before="100" w:beforeAutospacing="1" w:after="100" w:afterAutospacing="1"/>
        <w:rPr>
          <w:sz w:val="20"/>
          <w:szCs w:val="20"/>
        </w:rPr>
      </w:pPr>
      <w:r w:rsidRPr="000011C3">
        <w:rPr>
          <w:sz w:val="20"/>
          <w:szCs w:val="20"/>
        </w:rPr>
        <w:t>Проект поддержит социальные и экономические инициативы членов ГВП, направленные на решение нужд участников и развитие сообществ.</w:t>
      </w:r>
    </w:p>
    <w:p w:rsidR="005821A2" w:rsidRPr="000011C3" w:rsidRDefault="005821A2" w:rsidP="005821A2">
      <w:pPr>
        <w:rPr>
          <w:rFonts w:eastAsia="Calibri"/>
          <w:b/>
          <w:sz w:val="20"/>
          <w:szCs w:val="20"/>
        </w:rPr>
      </w:pPr>
    </w:p>
    <w:p w:rsidR="005821A2" w:rsidRPr="000011C3" w:rsidRDefault="005821A2" w:rsidP="005821A2">
      <w:pPr>
        <w:rPr>
          <w:rFonts w:eastAsia="Calibri"/>
          <w:sz w:val="20"/>
          <w:szCs w:val="20"/>
        </w:rPr>
      </w:pPr>
      <w:r w:rsidRPr="000011C3">
        <w:rPr>
          <w:rFonts w:eastAsia="Calibri"/>
          <w:sz w:val="20"/>
          <w:szCs w:val="20"/>
        </w:rPr>
        <w:t>Данное техническое задание составляется для оказания содействия в достижении результатов проекта и реализации ключевых мероприятий проекта на уровне пилотных областей.</w:t>
      </w:r>
    </w:p>
    <w:p w:rsidR="005821A2" w:rsidRDefault="005821A2" w:rsidP="007D6BD4">
      <w:pPr>
        <w:pStyle w:val="a8"/>
        <w:ind w:left="0" w:right="313"/>
        <w:rPr>
          <w:rFonts w:ascii="Times New Roman" w:hAnsi="Times New Roman"/>
          <w:spacing w:val="-3"/>
          <w:sz w:val="24"/>
          <w:szCs w:val="24"/>
          <w:lang w:val="ru-RU"/>
        </w:rPr>
      </w:pPr>
    </w:p>
    <w:p w:rsidR="005821A2" w:rsidRPr="007E2EC3" w:rsidRDefault="005821A2" w:rsidP="007D6BD4">
      <w:pPr>
        <w:pStyle w:val="a8"/>
        <w:ind w:left="0" w:right="313"/>
        <w:rPr>
          <w:rFonts w:ascii="Times New Roman" w:hAnsi="Times New Roman"/>
          <w:spacing w:val="-3"/>
          <w:sz w:val="24"/>
          <w:szCs w:val="24"/>
          <w:lang w:val="ru-RU"/>
        </w:rPr>
      </w:pPr>
    </w:p>
    <w:p w:rsidR="007D6BD4" w:rsidRPr="007E2EC3" w:rsidRDefault="005821A2" w:rsidP="007D6BD4">
      <w:pPr>
        <w:pBdr>
          <w:bottom w:val="dotted" w:sz="6" w:space="2" w:color="666666"/>
        </w:pBdr>
        <w:spacing w:before="75" w:after="45" w:line="312" w:lineRule="auto"/>
        <w:outlineLvl w:val="2"/>
        <w:rPr>
          <w:b/>
          <w:bCs/>
          <w:iCs/>
        </w:rPr>
      </w:pPr>
      <w:r>
        <w:rPr>
          <w:b/>
          <w:bCs/>
          <w:iCs/>
        </w:rPr>
        <w:t>З</w:t>
      </w:r>
      <w:r w:rsidR="007D6BD4" w:rsidRPr="007E2EC3">
        <w:rPr>
          <w:b/>
          <w:bCs/>
          <w:iCs/>
        </w:rPr>
        <w:t>адачи</w:t>
      </w:r>
      <w:r>
        <w:rPr>
          <w:b/>
          <w:bCs/>
          <w:iCs/>
        </w:rPr>
        <w:t xml:space="preserve"> и объем  работ:</w:t>
      </w:r>
    </w:p>
    <w:p w:rsidR="0000162A" w:rsidRPr="007E2EC3" w:rsidRDefault="0000162A" w:rsidP="007D6BD4">
      <w:pPr>
        <w:ind w:right="22"/>
        <w:jc w:val="both"/>
        <w:rPr>
          <w:bCs/>
          <w:iCs/>
        </w:rPr>
      </w:pPr>
    </w:p>
    <w:p w:rsidR="009E3E63" w:rsidRPr="007E2EC3" w:rsidRDefault="009E3E63" w:rsidP="009E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eastAsia="en-US"/>
        </w:rPr>
      </w:pPr>
      <w:r w:rsidRPr="007E2EC3">
        <w:rPr>
          <w:bCs/>
          <w:iCs/>
        </w:rPr>
        <w:t xml:space="preserve"> 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9E3E63" w:rsidRPr="007E2EC3" w:rsidTr="00B22D8C">
        <w:tc>
          <w:tcPr>
            <w:tcW w:w="5000" w:type="pct"/>
            <w:shd w:val="clear" w:color="auto" w:fill="auto"/>
          </w:tcPr>
          <w:p w:rsidR="009E3E63" w:rsidRPr="007E2EC3" w:rsidRDefault="009E3E63" w:rsidP="009E3E63">
            <w:pPr>
              <w:jc w:val="center"/>
              <w:rPr>
                <w:color w:val="008000"/>
              </w:rPr>
            </w:pPr>
            <w:r w:rsidRPr="007E2EC3">
              <w:rPr>
                <w:bCs/>
                <w:iCs/>
              </w:rPr>
              <w:t xml:space="preserve"> </w:t>
            </w:r>
            <w:r w:rsidR="005821A2">
              <w:rPr>
                <w:color w:val="00B050"/>
              </w:rPr>
              <w:t>ЗАДАЧИ:</w:t>
            </w:r>
          </w:p>
        </w:tc>
      </w:tr>
      <w:tr w:rsidR="009E3E63" w:rsidRPr="007E2EC3" w:rsidTr="00B22D8C">
        <w:tc>
          <w:tcPr>
            <w:tcW w:w="5000" w:type="pct"/>
            <w:shd w:val="clear" w:color="auto" w:fill="auto"/>
          </w:tcPr>
          <w:p w:rsidR="009E3E63" w:rsidRPr="007E2EC3" w:rsidRDefault="009E3E63" w:rsidP="009E3E63">
            <w:pPr>
              <w:jc w:val="both"/>
            </w:pPr>
            <w:bookmarkStart w:id="0" w:name="_GoBack"/>
            <w:bookmarkEnd w:id="0"/>
          </w:p>
          <w:p w:rsidR="009E3E63" w:rsidRPr="007E2EC3" w:rsidRDefault="009E3E63" w:rsidP="009E3E63">
            <w:pPr>
              <w:jc w:val="both"/>
            </w:pPr>
            <w:r w:rsidRPr="007E2EC3">
              <w:lastRenderedPageBreak/>
              <w:t>Для достижения цели настоящего технического задания должны быть выполнены следующие задачи:</w:t>
            </w:r>
          </w:p>
          <w:p w:rsidR="009E3E63" w:rsidRPr="007E2EC3" w:rsidRDefault="009E3E63" w:rsidP="009E3E63">
            <w:pPr>
              <w:numPr>
                <w:ilvl w:val="0"/>
                <w:numId w:val="6"/>
              </w:numPr>
              <w:jc w:val="both"/>
            </w:pPr>
            <w:r w:rsidRPr="007E2EC3">
              <w:t>Закуп необходимых оборудований/товаров</w:t>
            </w:r>
            <w:r w:rsidRPr="007E2EC3">
              <w:br/>
              <w:t xml:space="preserve">услуг  </w:t>
            </w:r>
            <w:proofErr w:type="gramStart"/>
            <w:r w:rsidRPr="007E2EC3">
              <w:t>согласно</w:t>
            </w:r>
            <w:proofErr w:type="gramEnd"/>
            <w:r w:rsidRPr="007E2EC3">
              <w:t xml:space="preserve"> проектных предложений членов ГВП</w:t>
            </w:r>
            <w:r w:rsidR="00761A23" w:rsidRPr="007E2EC3">
              <w:t xml:space="preserve"> в 20 пилотных сообществах в</w:t>
            </w:r>
            <w:r w:rsidRPr="007E2EC3">
              <w:t xml:space="preserve"> соответствии с утвержденным планом реализации и бюджета.</w:t>
            </w:r>
          </w:p>
          <w:p w:rsidR="009E3E63" w:rsidRPr="007E2EC3" w:rsidRDefault="009E3E63" w:rsidP="009E3E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 w:rsidRPr="007E2EC3">
              <w:rPr>
                <w:color w:val="00B050"/>
              </w:rPr>
              <w:t>ОБЪЕМ РАБОТ</w:t>
            </w:r>
            <w:r w:rsidR="00B32D18">
              <w:rPr>
                <w:color w:val="00B050"/>
              </w:rPr>
              <w:t>:</w:t>
            </w:r>
          </w:p>
          <w:p w:rsidR="009E3E63" w:rsidRPr="007E2EC3" w:rsidRDefault="009E3E63" w:rsidP="009E3E63">
            <w:pPr>
              <w:jc w:val="both"/>
            </w:pPr>
            <w:r w:rsidRPr="007E2EC3">
              <w:t xml:space="preserve"> </w:t>
            </w:r>
          </w:p>
          <w:p w:rsidR="009E3E63" w:rsidRDefault="009E3E63" w:rsidP="009E3E63">
            <w:pPr>
              <w:jc w:val="both"/>
            </w:pPr>
            <w:r w:rsidRPr="007E2EC3">
              <w:t>Для выполнения вышеперечисленных задач необходимо выполнить следующий объем работ:</w:t>
            </w:r>
          </w:p>
          <w:p w:rsidR="00255152" w:rsidRPr="007E2EC3" w:rsidRDefault="00255152" w:rsidP="009E3E63">
            <w:pPr>
              <w:jc w:val="both"/>
            </w:pPr>
          </w:p>
          <w:p w:rsidR="009E3E63" w:rsidRDefault="00255152" w:rsidP="00255152">
            <w:pPr>
              <w:pStyle w:val="a7"/>
              <w:numPr>
                <w:ilvl w:val="0"/>
                <w:numId w:val="7"/>
              </w:numPr>
              <w:jc w:val="both"/>
            </w:pPr>
            <w:r>
              <w:t>Осуществлять техническую поддержку на стадии написания проектных предложений в 20 пилотных сообществах</w:t>
            </w:r>
          </w:p>
          <w:p w:rsidR="00255152" w:rsidRPr="007E2EC3" w:rsidRDefault="00255152" w:rsidP="00255152">
            <w:pPr>
              <w:pStyle w:val="a7"/>
              <w:numPr>
                <w:ilvl w:val="0"/>
                <w:numId w:val="7"/>
              </w:numPr>
              <w:jc w:val="both"/>
            </w:pPr>
            <w:r>
              <w:t>Корректировать технические спецификации оборудования/тов</w:t>
            </w:r>
            <w:r w:rsidR="001272BA">
              <w:t>а</w:t>
            </w:r>
            <w:r>
              <w:t>ров/услуг с учетом наличия на рын</w:t>
            </w:r>
            <w:r w:rsidR="001272BA">
              <w:t>ке, безопасности использования,  на соотношение показателю «цена</w:t>
            </w:r>
            <w:r>
              <w:t>-качество</w:t>
            </w:r>
            <w:r w:rsidR="001272BA">
              <w:t>»</w:t>
            </w:r>
          </w:p>
          <w:p w:rsidR="009E3E63" w:rsidRPr="007E2EC3" w:rsidRDefault="007E2EC3" w:rsidP="009E3E63">
            <w:pPr>
              <w:numPr>
                <w:ilvl w:val="0"/>
                <w:numId w:val="7"/>
              </w:numPr>
              <w:jc w:val="both"/>
            </w:pPr>
            <w:r w:rsidRPr="007E2EC3">
              <w:t>Своевременно и качественно</w:t>
            </w:r>
            <w:r>
              <w:t xml:space="preserve"> планировать и </w:t>
            </w:r>
            <w:r w:rsidRPr="007E2EC3">
              <w:t xml:space="preserve"> выполнять </w:t>
            </w:r>
            <w:r w:rsidR="009E3E63" w:rsidRPr="007E2EC3">
              <w:t xml:space="preserve">все закупочные мероприятия и регулярно обновлять план закупок </w:t>
            </w:r>
            <w:r>
              <w:t xml:space="preserve"> (при необходимости) для 20 пилотных сообществ</w:t>
            </w:r>
            <w:r w:rsidR="00F24486">
              <w:t>,</w:t>
            </w:r>
            <w:r w:rsidR="009E3E63" w:rsidRPr="007E2EC3">
              <w:t xml:space="preserve"> </w:t>
            </w:r>
            <w:r>
              <w:t xml:space="preserve"> в </w:t>
            </w:r>
            <w:proofErr w:type="gramStart"/>
            <w:r w:rsidR="009E3E63" w:rsidRPr="007E2EC3">
              <w:t>тесном</w:t>
            </w:r>
            <w:proofErr w:type="gramEnd"/>
            <w:r w:rsidR="009E3E63" w:rsidRPr="007E2EC3">
              <w:t xml:space="preserve"> сотрудничест</w:t>
            </w:r>
            <w:r w:rsidR="00761A23" w:rsidRPr="007E2EC3">
              <w:t>во с бухгалтером и Директором</w:t>
            </w:r>
            <w:r w:rsidR="009E3E63" w:rsidRPr="007E2EC3">
              <w:t xml:space="preserve"> </w:t>
            </w:r>
            <w:r w:rsidR="009E3E63" w:rsidRPr="007E2EC3">
              <w:rPr>
                <w:lang w:val="en-US"/>
              </w:rPr>
              <w:t>CDA</w:t>
            </w:r>
            <w:r w:rsidR="009E3E63" w:rsidRPr="007E2EC3">
              <w:t>;</w:t>
            </w:r>
          </w:p>
          <w:p w:rsidR="00761A23" w:rsidRPr="007E2EC3" w:rsidRDefault="00761A23" w:rsidP="009E3E63">
            <w:pPr>
              <w:numPr>
                <w:ilvl w:val="0"/>
                <w:numId w:val="7"/>
              </w:numPr>
              <w:jc w:val="both"/>
            </w:pPr>
            <w:r w:rsidRPr="007E2EC3">
              <w:t>Поддерживать тесную связь с ответственными лицами за реализац</w:t>
            </w:r>
            <w:r w:rsidR="007E2EC3" w:rsidRPr="007E2EC3">
              <w:t>и</w:t>
            </w:r>
            <w:r w:rsidRPr="007E2EC3">
              <w:t>ю гранта</w:t>
            </w:r>
            <w:r w:rsidR="007E2EC3" w:rsidRPr="007E2EC3">
              <w:t xml:space="preserve"> в</w:t>
            </w:r>
            <w:r w:rsidRPr="007E2EC3">
              <w:t xml:space="preserve"> </w:t>
            </w:r>
            <w:r w:rsidR="007E2EC3" w:rsidRPr="007E2EC3">
              <w:t>20 пилотных сообществах</w:t>
            </w:r>
            <w:r w:rsidRPr="007E2EC3">
              <w:t xml:space="preserve"> для уточнений спецификаций</w:t>
            </w:r>
            <w:r w:rsidR="007E2EC3" w:rsidRPr="007E2EC3">
              <w:t>, согласно цели гранта</w:t>
            </w:r>
          </w:p>
          <w:p w:rsidR="009E3E63" w:rsidRPr="007E2EC3" w:rsidRDefault="009E3E63" w:rsidP="009E3E63">
            <w:pPr>
              <w:numPr>
                <w:ilvl w:val="0"/>
                <w:numId w:val="7"/>
              </w:numPr>
              <w:jc w:val="both"/>
            </w:pPr>
            <w:r w:rsidRPr="007E2EC3">
              <w:t>Осуществлять подготовку документов для закупки оборудований: технические спецификации, тендерные документы, отчеты об оценке тендерных предложений, предварительно согласованные контракты с поставщиками / подрядчиками;</w:t>
            </w:r>
          </w:p>
          <w:p w:rsidR="009E3E63" w:rsidRPr="007E2EC3" w:rsidRDefault="009E3E63" w:rsidP="009E3E63">
            <w:pPr>
              <w:numPr>
                <w:ilvl w:val="0"/>
                <w:numId w:val="7"/>
              </w:numPr>
              <w:jc w:val="both"/>
            </w:pPr>
            <w:r w:rsidRPr="007E2EC3">
              <w:t>Осуществлять подготовку документов для выбора поставщиков: ТЗ, Запрос предложений, Предложение, Отчеты об оценке,</w:t>
            </w:r>
            <w:r w:rsidR="007E2EC3" w:rsidRPr="007E2EC3">
              <w:t xml:space="preserve"> согласно утвержденным критериям,</w:t>
            </w:r>
            <w:r w:rsidRPr="007E2EC3">
              <w:t xml:space="preserve"> предварительные контракты с поставщиками;</w:t>
            </w:r>
          </w:p>
          <w:p w:rsidR="009E3E63" w:rsidRPr="007E2EC3" w:rsidRDefault="009E3E63" w:rsidP="009E3E63">
            <w:pPr>
              <w:numPr>
                <w:ilvl w:val="0"/>
                <w:numId w:val="7"/>
              </w:numPr>
              <w:jc w:val="both"/>
            </w:pPr>
            <w:r w:rsidRPr="007E2EC3">
              <w:t>Проводить консультирование с Оценочной комиссией по закупкам оборудований, работ в рамках проекта, а также о применении Руководства и процедур по закупу;</w:t>
            </w:r>
          </w:p>
          <w:p w:rsidR="009E3E63" w:rsidRPr="007E2EC3" w:rsidRDefault="009E3E63" w:rsidP="009E3E63">
            <w:pPr>
              <w:numPr>
                <w:ilvl w:val="0"/>
                <w:numId w:val="7"/>
              </w:numPr>
              <w:jc w:val="both"/>
            </w:pPr>
            <w:r w:rsidRPr="007E2EC3">
              <w:t>Проведение переговоров и управление выполнением контракта поставщиков;</w:t>
            </w:r>
          </w:p>
          <w:p w:rsidR="009E3E63" w:rsidRPr="007E2EC3" w:rsidRDefault="009E3E63" w:rsidP="009E3E63">
            <w:pPr>
              <w:numPr>
                <w:ilvl w:val="0"/>
                <w:numId w:val="7"/>
              </w:numPr>
              <w:jc w:val="both"/>
            </w:pPr>
            <w:r w:rsidRPr="007E2EC3">
              <w:t xml:space="preserve">Обеспечение соответствия всей закупочной деятельности в рамках проекта в соответствии с Руководящими принципами и процедурами закупок, указанные в руководстве и Финансовых соглашениях проекта; </w:t>
            </w:r>
          </w:p>
          <w:p w:rsidR="009E3E63" w:rsidRPr="007E2EC3" w:rsidRDefault="00761A23" w:rsidP="009E3E63">
            <w:pPr>
              <w:numPr>
                <w:ilvl w:val="0"/>
                <w:numId w:val="7"/>
              </w:numPr>
              <w:jc w:val="both"/>
            </w:pPr>
            <w:r w:rsidRPr="007E2EC3">
              <w:t>Консультировать Директора</w:t>
            </w:r>
            <w:r w:rsidR="009E3E63" w:rsidRPr="007E2EC3">
              <w:t xml:space="preserve"> ОО, в случаях, когда условия предоставленных контрактов / соглашений не соблюдаются поставщиками, подрядчиками; </w:t>
            </w:r>
          </w:p>
          <w:p w:rsidR="009E3E63" w:rsidRPr="007E2EC3" w:rsidRDefault="009E3E63" w:rsidP="009E3E63">
            <w:pPr>
              <w:numPr>
                <w:ilvl w:val="0"/>
                <w:numId w:val="7"/>
              </w:numPr>
              <w:jc w:val="both"/>
            </w:pPr>
            <w:r w:rsidRPr="007E2EC3">
              <w:t>Создание и ведение базы данных / архива закупок;</w:t>
            </w:r>
          </w:p>
          <w:p w:rsidR="009E3E63" w:rsidRPr="007E2EC3" w:rsidRDefault="009E3E63" w:rsidP="009E3E63">
            <w:pPr>
              <w:numPr>
                <w:ilvl w:val="0"/>
                <w:numId w:val="7"/>
              </w:numPr>
              <w:jc w:val="both"/>
            </w:pPr>
            <w:r w:rsidRPr="007E2EC3">
              <w:t xml:space="preserve">Проводить координацию своевременной доставки товаров поставщиками, выполнение работ подрядчиками в соответствии с согласованным планом работы; </w:t>
            </w:r>
          </w:p>
          <w:p w:rsidR="009E3E63" w:rsidRPr="007E2EC3" w:rsidRDefault="009E3E63" w:rsidP="009E3E63">
            <w:pPr>
              <w:numPr>
                <w:ilvl w:val="0"/>
                <w:numId w:val="7"/>
              </w:numPr>
              <w:jc w:val="both"/>
            </w:pPr>
            <w:r w:rsidRPr="007E2EC3">
              <w:t>Своевременно представлять регулярны</w:t>
            </w:r>
            <w:r w:rsidR="00761A23" w:rsidRPr="007E2EC3">
              <w:t>е отчеты о закупках Директору</w:t>
            </w:r>
            <w:r w:rsidRPr="007E2EC3">
              <w:t xml:space="preserve"> ОО;</w:t>
            </w:r>
          </w:p>
          <w:p w:rsidR="009E3E63" w:rsidRDefault="009E3E63" w:rsidP="009E3E63">
            <w:pPr>
              <w:numPr>
                <w:ilvl w:val="0"/>
                <w:numId w:val="7"/>
              </w:numPr>
              <w:jc w:val="both"/>
            </w:pPr>
            <w:r w:rsidRPr="007E2EC3">
              <w:t>Любое другое поручение, связанное с закупками и контракта</w:t>
            </w:r>
            <w:r w:rsidR="00761A23" w:rsidRPr="007E2EC3">
              <w:t xml:space="preserve">ми, со стороны Директора </w:t>
            </w:r>
            <w:r w:rsidRPr="007E2EC3">
              <w:t>ОО.</w:t>
            </w:r>
          </w:p>
          <w:p w:rsidR="00937779" w:rsidRDefault="00937779" w:rsidP="009E3E63">
            <w:pPr>
              <w:numPr>
                <w:ilvl w:val="0"/>
                <w:numId w:val="7"/>
              </w:numPr>
              <w:jc w:val="both"/>
            </w:pPr>
            <w:r>
              <w:t>Принимать участие в ре тендере (при необходимости)</w:t>
            </w:r>
          </w:p>
          <w:p w:rsidR="007E2EC3" w:rsidRPr="007E2EC3" w:rsidRDefault="007E2EC3" w:rsidP="00F24486">
            <w:pPr>
              <w:ind w:left="360"/>
              <w:jc w:val="both"/>
            </w:pPr>
          </w:p>
          <w:p w:rsidR="009E3E63" w:rsidRPr="007E2EC3" w:rsidRDefault="009E3E63" w:rsidP="009E3E63">
            <w:pPr>
              <w:ind w:left="360"/>
              <w:jc w:val="both"/>
            </w:pPr>
          </w:p>
          <w:p w:rsidR="009E3E63" w:rsidRPr="007E2EC3" w:rsidRDefault="009E3E63" w:rsidP="009E3E63">
            <w:pPr>
              <w:spacing w:after="200" w:line="276" w:lineRule="auto"/>
              <w:ind w:left="291"/>
              <w:contextualSpacing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7E2EC3">
              <w:rPr>
                <w:rFonts w:eastAsia="Calibri"/>
                <w:b/>
                <w:bCs/>
                <w:iCs/>
                <w:lang w:eastAsia="en-US"/>
              </w:rPr>
              <w:t xml:space="preserve">Квалификация: </w:t>
            </w:r>
          </w:p>
          <w:p w:rsidR="009E3E63" w:rsidRPr="007E2EC3" w:rsidRDefault="009E3E63" w:rsidP="009E3E63">
            <w:pPr>
              <w:numPr>
                <w:ilvl w:val="0"/>
                <w:numId w:val="8"/>
              </w:numPr>
              <w:jc w:val="both"/>
            </w:pPr>
            <w:r w:rsidRPr="007E2EC3">
              <w:t>Минимум 3 года опыта закупок</w:t>
            </w:r>
            <w:r w:rsidR="00AE0374" w:rsidRPr="007E2EC3">
              <w:t xml:space="preserve"> (опыт закупок </w:t>
            </w:r>
            <w:r w:rsidRPr="007E2EC3">
              <w:t xml:space="preserve">в </w:t>
            </w:r>
            <w:proofErr w:type="gramStart"/>
            <w:r w:rsidRPr="007E2EC3">
              <w:t>проектах, финансируемых международными организациями</w:t>
            </w:r>
            <w:r w:rsidR="00AE0374" w:rsidRPr="007E2EC3">
              <w:t xml:space="preserve">  приветствуется</w:t>
            </w:r>
            <w:proofErr w:type="gramEnd"/>
            <w:r w:rsidR="00AE0374" w:rsidRPr="007E2EC3">
              <w:t>)</w:t>
            </w:r>
          </w:p>
          <w:p w:rsidR="009E3E63" w:rsidRPr="007E2EC3" w:rsidRDefault="009E3E63" w:rsidP="009E3E63">
            <w:pPr>
              <w:numPr>
                <w:ilvl w:val="0"/>
                <w:numId w:val="8"/>
              </w:numPr>
              <w:jc w:val="both"/>
            </w:pPr>
            <w:r w:rsidRPr="007E2EC3">
              <w:t xml:space="preserve">Знание процедур государственных закупок </w:t>
            </w:r>
            <w:proofErr w:type="gramStart"/>
            <w:r w:rsidRPr="007E2EC3">
              <w:t>КР</w:t>
            </w:r>
            <w:proofErr w:type="gramEnd"/>
            <w:r w:rsidRPr="007E2EC3">
              <w:t>;</w:t>
            </w:r>
          </w:p>
          <w:p w:rsidR="009E3E63" w:rsidRPr="007E2EC3" w:rsidRDefault="005821A2" w:rsidP="009E3E63">
            <w:pPr>
              <w:numPr>
                <w:ilvl w:val="0"/>
                <w:numId w:val="8"/>
              </w:numPr>
              <w:jc w:val="both"/>
            </w:pPr>
            <w:r>
              <w:t>Свободно владение</w:t>
            </w:r>
            <w:r w:rsidR="009E3E63" w:rsidRPr="007E2EC3">
              <w:t xml:space="preserve"> русским и кыргызскими языками; </w:t>
            </w:r>
          </w:p>
          <w:p w:rsidR="009E3E63" w:rsidRPr="007E2EC3" w:rsidRDefault="009E3E63" w:rsidP="009E3E63">
            <w:pPr>
              <w:numPr>
                <w:ilvl w:val="0"/>
                <w:numId w:val="8"/>
              </w:numPr>
              <w:jc w:val="both"/>
            </w:pPr>
            <w:proofErr w:type="gramStart"/>
            <w:r w:rsidRPr="007E2EC3">
              <w:t xml:space="preserve">Ориентирован на результат с возможностью предоставления результатов в указанных рамках и сроках. </w:t>
            </w:r>
            <w:proofErr w:type="gramEnd"/>
          </w:p>
          <w:p w:rsidR="009E3E63" w:rsidRPr="007E2EC3" w:rsidRDefault="009E3E63" w:rsidP="009E3E63">
            <w:pPr>
              <w:ind w:left="651"/>
              <w:jc w:val="both"/>
            </w:pPr>
          </w:p>
          <w:p w:rsidR="009E3E63" w:rsidRPr="007E2EC3" w:rsidRDefault="009E3E63" w:rsidP="009E3E63">
            <w:pPr>
              <w:numPr>
                <w:ilvl w:val="0"/>
                <w:numId w:val="9"/>
              </w:numPr>
              <w:jc w:val="both"/>
            </w:pPr>
            <w:proofErr w:type="gramStart"/>
            <w:r w:rsidRPr="007E2EC3">
              <w:t xml:space="preserve">Коммуникативные навыки: способность передавать соответствующую и точную </w:t>
            </w:r>
            <w:r w:rsidRPr="007E2EC3">
              <w:lastRenderedPageBreak/>
              <w:t>информацию в письменные и устные форматах;</w:t>
            </w:r>
            <w:proofErr w:type="gramEnd"/>
          </w:p>
          <w:p w:rsidR="005821A2" w:rsidRDefault="009E3E63" w:rsidP="009E3E63">
            <w:pPr>
              <w:numPr>
                <w:ilvl w:val="0"/>
                <w:numId w:val="9"/>
              </w:numPr>
              <w:jc w:val="both"/>
            </w:pPr>
            <w:r w:rsidRPr="007E2EC3">
              <w:t>Аккуратн</w:t>
            </w:r>
            <w:r w:rsidR="005821A2">
              <w:t>ость и внимательность</w:t>
            </w:r>
            <w:r w:rsidRPr="007E2EC3">
              <w:t xml:space="preserve"> к деталям: способность обеспечивать и поддерживать высокую степень точности и качества в работе, </w:t>
            </w:r>
          </w:p>
          <w:p w:rsidR="009E3E63" w:rsidRPr="007E2EC3" w:rsidRDefault="009E3E63" w:rsidP="009E3E63">
            <w:pPr>
              <w:numPr>
                <w:ilvl w:val="0"/>
                <w:numId w:val="9"/>
              </w:numPr>
              <w:jc w:val="both"/>
            </w:pPr>
            <w:r w:rsidRPr="007E2EC3">
              <w:t>Решение проблем: способность принимать разумные решения и проявлять инициативу во всех операциях, способность обрабатывать и предлагать практические и реалистичные решения;</w:t>
            </w:r>
          </w:p>
          <w:p w:rsidR="009E3E63" w:rsidRDefault="009E3E63" w:rsidP="009E3E63">
            <w:pPr>
              <w:numPr>
                <w:ilvl w:val="0"/>
                <w:numId w:val="9"/>
              </w:numPr>
              <w:jc w:val="both"/>
            </w:pPr>
            <w:r w:rsidRPr="007E2EC3">
              <w:t>Планирование и организация: способность работать независимо с минимальным контролем, приоритетами и в соответствии с графиком работы.</w:t>
            </w:r>
          </w:p>
          <w:p w:rsidR="005821A2" w:rsidRPr="007E2EC3" w:rsidRDefault="005821A2" w:rsidP="009E3E63">
            <w:pPr>
              <w:numPr>
                <w:ilvl w:val="0"/>
                <w:numId w:val="9"/>
              </w:numPr>
              <w:jc w:val="both"/>
            </w:pPr>
            <w:r>
              <w:t>Стрессоустойчивость</w:t>
            </w:r>
          </w:p>
        </w:tc>
      </w:tr>
    </w:tbl>
    <w:p w:rsidR="007D6BD4" w:rsidRPr="007E2EC3" w:rsidRDefault="007D6BD4" w:rsidP="007D6BD4">
      <w:pPr>
        <w:tabs>
          <w:tab w:val="num" w:pos="720"/>
        </w:tabs>
        <w:ind w:left="426"/>
        <w:rPr>
          <w:bCs/>
          <w:iCs/>
        </w:rPr>
      </w:pPr>
    </w:p>
    <w:p w:rsidR="009E3E63" w:rsidRPr="007E2EC3" w:rsidRDefault="009E3E63" w:rsidP="00AE0374">
      <w:pPr>
        <w:tabs>
          <w:tab w:val="num" w:pos="720"/>
        </w:tabs>
        <w:rPr>
          <w:bCs/>
          <w:iCs/>
        </w:rPr>
      </w:pPr>
    </w:p>
    <w:p w:rsidR="007D6BD4" w:rsidRPr="007E2EC3" w:rsidRDefault="007D6BD4" w:rsidP="007D6BD4">
      <w:pPr>
        <w:jc w:val="both"/>
      </w:pPr>
    </w:p>
    <w:p w:rsidR="007D6BD4" w:rsidRPr="007E2EC3" w:rsidRDefault="007D6BD4" w:rsidP="007D6BD4">
      <w:pPr>
        <w:jc w:val="both"/>
      </w:pPr>
    </w:p>
    <w:p w:rsidR="007D6BD4" w:rsidRPr="007E2EC3" w:rsidRDefault="007D6BD4" w:rsidP="007D6BD4">
      <w:pPr>
        <w:jc w:val="both"/>
      </w:pPr>
      <w:r w:rsidRPr="007E2EC3">
        <w:tab/>
      </w:r>
      <w:r w:rsidRPr="007E2EC3">
        <w:tab/>
      </w:r>
      <w:r w:rsidRPr="007E2EC3">
        <w:tab/>
      </w:r>
      <w:r w:rsidRPr="007E2EC3">
        <w:tab/>
      </w:r>
      <w:r w:rsidRPr="007E2EC3">
        <w:tab/>
      </w:r>
    </w:p>
    <w:p w:rsidR="00820EA8" w:rsidRPr="007E2EC3" w:rsidRDefault="00820EA8"/>
    <w:sectPr w:rsidR="00820EA8" w:rsidRPr="007E2EC3" w:rsidSect="00A75103">
      <w:headerReference w:type="default" r:id="rId9"/>
      <w:footerReference w:type="default" r:id="rId10"/>
      <w:pgSz w:w="11906" w:h="16838"/>
      <w:pgMar w:top="1247" w:right="1134" w:bottom="1134" w:left="1440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66" w:rsidRDefault="00FA5966" w:rsidP="00AF0CC1">
      <w:r>
        <w:separator/>
      </w:r>
    </w:p>
  </w:endnote>
  <w:endnote w:type="continuationSeparator" w:id="0">
    <w:p w:rsidR="00FA5966" w:rsidRDefault="00FA5966" w:rsidP="00AF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AA" w:rsidRPr="0045529B" w:rsidRDefault="00FA5966" w:rsidP="006E2123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66" w:rsidRDefault="00FA5966" w:rsidP="00AF0CC1">
      <w:r>
        <w:separator/>
      </w:r>
    </w:p>
  </w:footnote>
  <w:footnote w:type="continuationSeparator" w:id="0">
    <w:p w:rsidR="00FA5966" w:rsidRDefault="00FA5966" w:rsidP="00AF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AA" w:rsidRPr="00C733CA" w:rsidRDefault="000F2B9C" w:rsidP="006E2123">
    <w:pPr>
      <w:pStyle w:val="a3"/>
      <w:jc w:val="right"/>
      <w:rPr>
        <w:i/>
        <w:sz w:val="18"/>
        <w:szCs w:val="18"/>
      </w:rPr>
    </w:pPr>
    <w:r w:rsidRPr="003B57FD">
      <w:rPr>
        <w:i/>
        <w:sz w:val="18"/>
        <w:szCs w:val="18"/>
        <w:lang w:val="en-US"/>
      </w:rPr>
      <w:t>Community Development Alliance</w:t>
    </w:r>
    <w:r>
      <w:rPr>
        <w:i/>
        <w:sz w:val="18"/>
        <w:szCs w:val="18"/>
      </w:rPr>
      <w:t xml:space="preserve"> (</w:t>
    </w:r>
    <w:r>
      <w:rPr>
        <w:i/>
        <w:sz w:val="18"/>
        <w:szCs w:val="18"/>
        <w:lang w:val="en-US"/>
      </w:rPr>
      <w:t>CDA)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0539"/>
    <w:multiLevelType w:val="hybridMultilevel"/>
    <w:tmpl w:val="0F1AB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B92979"/>
    <w:multiLevelType w:val="hybridMultilevel"/>
    <w:tmpl w:val="39F6E94C"/>
    <w:lvl w:ilvl="0" w:tplc="32703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3C0435"/>
    <w:multiLevelType w:val="hybridMultilevel"/>
    <w:tmpl w:val="04769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DC3DAD"/>
    <w:multiLevelType w:val="hybridMultilevel"/>
    <w:tmpl w:val="AE00C1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3E5211"/>
    <w:multiLevelType w:val="multilevel"/>
    <w:tmpl w:val="2D8A4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85E309A"/>
    <w:multiLevelType w:val="hybridMultilevel"/>
    <w:tmpl w:val="1E1ED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9727936">
      <w:start w:val="60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317160"/>
    <w:multiLevelType w:val="hybridMultilevel"/>
    <w:tmpl w:val="EE32A7E6"/>
    <w:lvl w:ilvl="0" w:tplc="D1AAE150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050013"/>
    <w:multiLevelType w:val="hybridMultilevel"/>
    <w:tmpl w:val="CF82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22B83"/>
    <w:multiLevelType w:val="hybridMultilevel"/>
    <w:tmpl w:val="A48C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D4"/>
    <w:rsid w:val="0000162A"/>
    <w:rsid w:val="00066897"/>
    <w:rsid w:val="000F2B9C"/>
    <w:rsid w:val="000F6BB6"/>
    <w:rsid w:val="001272BA"/>
    <w:rsid w:val="001F0CBF"/>
    <w:rsid w:val="00243AF2"/>
    <w:rsid w:val="00254656"/>
    <w:rsid w:val="00255152"/>
    <w:rsid w:val="002D2D0F"/>
    <w:rsid w:val="00315381"/>
    <w:rsid w:val="0043473E"/>
    <w:rsid w:val="005110D2"/>
    <w:rsid w:val="005821A2"/>
    <w:rsid w:val="00593250"/>
    <w:rsid w:val="005D71AA"/>
    <w:rsid w:val="005D7E11"/>
    <w:rsid w:val="005E3832"/>
    <w:rsid w:val="005E6BDF"/>
    <w:rsid w:val="00636AEB"/>
    <w:rsid w:val="00686777"/>
    <w:rsid w:val="007503D7"/>
    <w:rsid w:val="00761A23"/>
    <w:rsid w:val="0079299D"/>
    <w:rsid w:val="00792EF9"/>
    <w:rsid w:val="007A10F3"/>
    <w:rsid w:val="007D6BD4"/>
    <w:rsid w:val="007E2EC3"/>
    <w:rsid w:val="00820EA8"/>
    <w:rsid w:val="0082437E"/>
    <w:rsid w:val="0089337A"/>
    <w:rsid w:val="00897158"/>
    <w:rsid w:val="008A5917"/>
    <w:rsid w:val="00937779"/>
    <w:rsid w:val="00973503"/>
    <w:rsid w:val="00992988"/>
    <w:rsid w:val="00994B14"/>
    <w:rsid w:val="009E3E63"/>
    <w:rsid w:val="00AE0374"/>
    <w:rsid w:val="00AE77D3"/>
    <w:rsid w:val="00AF0CC1"/>
    <w:rsid w:val="00AF482C"/>
    <w:rsid w:val="00B32D18"/>
    <w:rsid w:val="00B6299F"/>
    <w:rsid w:val="00B96714"/>
    <w:rsid w:val="00CB1EF4"/>
    <w:rsid w:val="00E7198B"/>
    <w:rsid w:val="00F24486"/>
    <w:rsid w:val="00F75B3A"/>
    <w:rsid w:val="00FA5966"/>
    <w:rsid w:val="00FF76C2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6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D6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D6B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99"/>
    <w:qFormat/>
    <w:rsid w:val="007D6BD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D6BD4"/>
    <w:pPr>
      <w:widowControl w:val="0"/>
      <w:ind w:left="457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7D6BD4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7D6BD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43A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6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D6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D6B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99"/>
    <w:qFormat/>
    <w:rsid w:val="007D6BD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D6BD4"/>
    <w:pPr>
      <w:widowControl w:val="0"/>
      <w:ind w:left="457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7D6BD4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7D6BD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43A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 Kuttubaeva</dc:creator>
  <cp:lastModifiedBy>DELL</cp:lastModifiedBy>
  <cp:revision>9</cp:revision>
  <dcterms:created xsi:type="dcterms:W3CDTF">2024-11-14T19:33:00Z</dcterms:created>
  <dcterms:modified xsi:type="dcterms:W3CDTF">2024-11-14T19:56:00Z</dcterms:modified>
</cp:coreProperties>
</file>