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7E85D" w14:textId="77777777" w:rsidR="00FE2A2C" w:rsidRPr="00822A03" w:rsidRDefault="00FE2A2C">
      <w:pPr>
        <w:pStyle w:val="Heading1"/>
        <w:ind w:right="26"/>
        <w:rPr>
          <w:rFonts w:asciiTheme="majorHAnsi" w:eastAsia="Calibri" w:hAnsiTheme="majorHAnsi" w:cstheme="majorHAnsi"/>
          <w:sz w:val="22"/>
          <w:szCs w:val="22"/>
        </w:rPr>
      </w:pPr>
    </w:p>
    <w:p w14:paraId="3B4329D5" w14:textId="15B367F5" w:rsidR="00AC447D" w:rsidRPr="00822A03" w:rsidRDefault="00B14CF4">
      <w:pPr>
        <w:pStyle w:val="Heading1"/>
        <w:ind w:right="26"/>
        <w:rPr>
          <w:rFonts w:asciiTheme="majorHAnsi" w:eastAsia="Calibri" w:hAnsiTheme="majorHAnsi" w:cstheme="majorHAnsi"/>
          <w:sz w:val="22"/>
          <w:szCs w:val="22"/>
        </w:rPr>
      </w:pPr>
      <w:r w:rsidRPr="00822A03">
        <w:rPr>
          <w:rFonts w:asciiTheme="majorHAnsi" w:eastAsia="Calibri" w:hAnsiTheme="majorHAnsi" w:cstheme="majorHAnsi"/>
          <w:sz w:val="22"/>
          <w:szCs w:val="22"/>
        </w:rPr>
        <w:t>Запрос коммерческих предложений (ЗКП)</w:t>
      </w:r>
    </w:p>
    <w:tbl>
      <w:tblPr>
        <w:tblStyle w:val="a"/>
        <w:tblW w:w="942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6251"/>
      </w:tblGrid>
      <w:tr w:rsidR="009C2E3F" w:rsidRPr="00822A03" w14:paraId="3B4329D8" w14:textId="77777777">
        <w:trPr>
          <w:trHeight w:val="496"/>
        </w:trPr>
        <w:tc>
          <w:tcPr>
            <w:tcW w:w="3169" w:type="dxa"/>
            <w:vAlign w:val="center"/>
          </w:tcPr>
          <w:p w14:paraId="3B4329D6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Номер ЗКП:</w:t>
            </w:r>
          </w:p>
        </w:tc>
        <w:tc>
          <w:tcPr>
            <w:tcW w:w="6251" w:type="dxa"/>
            <w:vAlign w:val="center"/>
          </w:tcPr>
          <w:p w14:paraId="3B4329D7" w14:textId="6D1233DB" w:rsidR="00AC447D" w:rsidRPr="00822A03" w:rsidRDefault="00B14CF4">
            <w:pPr>
              <w:pStyle w:val="Heading6"/>
              <w:ind w:right="26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822A03">
              <w:rPr>
                <w:rFonts w:asciiTheme="majorHAnsi" w:eastAsia="Calibri" w:hAnsiTheme="majorHAnsi" w:cstheme="majorHAnsi"/>
                <w:sz w:val="22"/>
                <w:szCs w:val="22"/>
              </w:rPr>
              <w:t>304-3041-202</w:t>
            </w:r>
            <w:r w:rsidR="00737B0E" w:rsidRPr="00822A03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4</w:t>
            </w:r>
            <w:r w:rsidRPr="00822A03">
              <w:rPr>
                <w:rFonts w:asciiTheme="majorHAnsi" w:eastAsia="Calibri" w:hAnsiTheme="majorHAnsi" w:cstheme="majorHAnsi"/>
                <w:sz w:val="22"/>
                <w:szCs w:val="22"/>
              </w:rPr>
              <w:t>-0</w:t>
            </w:r>
            <w:r w:rsidR="00C7414B" w:rsidRPr="00822A03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3</w:t>
            </w:r>
            <w:r w:rsidR="002719B0" w:rsidRPr="00822A03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3</w:t>
            </w:r>
          </w:p>
        </w:tc>
      </w:tr>
      <w:tr w:rsidR="009C2E3F" w:rsidRPr="00822A03" w14:paraId="3B4329DB" w14:textId="77777777">
        <w:trPr>
          <w:trHeight w:val="551"/>
        </w:trPr>
        <w:tc>
          <w:tcPr>
            <w:tcW w:w="3169" w:type="dxa"/>
            <w:vAlign w:val="center"/>
          </w:tcPr>
          <w:p w14:paraId="3B4329D9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Назначение:</w:t>
            </w:r>
          </w:p>
        </w:tc>
        <w:tc>
          <w:tcPr>
            <w:tcW w:w="6251" w:type="dxa"/>
            <w:vAlign w:val="center"/>
          </w:tcPr>
          <w:p w14:paraId="392FC2FE" w14:textId="77777777" w:rsidR="00871E16" w:rsidRPr="00871E16" w:rsidRDefault="005E3A33" w:rsidP="00871E16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b/>
              </w:rPr>
            </w:pPr>
            <w:r w:rsidRPr="00822A03">
              <w:rPr>
                <w:rFonts w:asciiTheme="majorHAnsi" w:hAnsiTheme="majorHAnsi" w:cstheme="majorHAnsi"/>
                <w:b/>
              </w:rPr>
              <w:t>IT оборудование (компьютер, принтер)</w:t>
            </w:r>
            <w:r w:rsidR="009234D3" w:rsidRPr="00822A03">
              <w:rPr>
                <w:rFonts w:asciiTheme="majorHAnsi" w:hAnsiTheme="majorHAnsi" w:cstheme="majorHAnsi"/>
                <w:b/>
              </w:rPr>
              <w:t xml:space="preserve"> для </w:t>
            </w:r>
            <w:r w:rsidR="00871E16" w:rsidRPr="00871E16">
              <w:rPr>
                <w:rFonts w:asciiTheme="majorHAnsi" w:hAnsiTheme="majorHAnsi" w:cstheme="majorHAnsi"/>
                <w:b/>
              </w:rPr>
              <w:t>Службы юридической помощи при Министерстве юстиции Кыргызской Республики</w:t>
            </w:r>
          </w:p>
          <w:p w14:paraId="3B4329DA" w14:textId="78584C35" w:rsidR="00AC447D" w:rsidRPr="00822A03" w:rsidRDefault="00AC447D" w:rsidP="009234D3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C2E3F" w:rsidRPr="00822A03" w14:paraId="3B4329DE" w14:textId="77777777">
        <w:trPr>
          <w:trHeight w:val="524"/>
        </w:trPr>
        <w:tc>
          <w:tcPr>
            <w:tcW w:w="3169" w:type="dxa"/>
            <w:vAlign w:val="center"/>
          </w:tcPr>
          <w:p w14:paraId="3B4329DC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6251" w:type="dxa"/>
            <w:vAlign w:val="center"/>
          </w:tcPr>
          <w:p w14:paraId="3B4329DD" w14:textId="77777777" w:rsidR="00AC447D" w:rsidRPr="00822A03" w:rsidRDefault="00B1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  <w:b/>
              </w:rPr>
              <w:t>Филиал «Ист-Вест Менеджмент Институт, Инк» в Кыргызской Республике</w:t>
            </w:r>
          </w:p>
        </w:tc>
      </w:tr>
      <w:tr w:rsidR="009C2E3F" w:rsidRPr="00822A03" w14:paraId="3B4329E2" w14:textId="77777777">
        <w:trPr>
          <w:trHeight w:val="692"/>
        </w:trPr>
        <w:tc>
          <w:tcPr>
            <w:tcW w:w="3169" w:type="dxa"/>
            <w:vAlign w:val="center"/>
          </w:tcPr>
          <w:p w14:paraId="3B4329DF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Адрес доставки:</w:t>
            </w:r>
          </w:p>
        </w:tc>
        <w:tc>
          <w:tcPr>
            <w:tcW w:w="6251" w:type="dxa"/>
            <w:vAlign w:val="center"/>
          </w:tcPr>
          <w:p w14:paraId="3B4329E0" w14:textId="77777777" w:rsidR="00AC447D" w:rsidRPr="00822A03" w:rsidRDefault="00B14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822A03">
              <w:rPr>
                <w:rFonts w:asciiTheme="majorHAnsi" w:hAnsiTheme="majorHAnsi" w:cstheme="majorHAnsi"/>
                <w:b/>
              </w:rPr>
              <w:t xml:space="preserve">Кыргызская Республика, г. Бишкек, </w:t>
            </w:r>
          </w:p>
          <w:p w14:paraId="3B4329E1" w14:textId="126F56E4" w:rsidR="00AC447D" w:rsidRPr="00822A03" w:rsidRDefault="00035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822A03">
              <w:rPr>
                <w:rFonts w:asciiTheme="majorHAnsi" w:hAnsiTheme="majorHAnsi" w:cstheme="majorHAnsi"/>
                <w:b/>
              </w:rPr>
              <w:t>ул.Юнусалиева, 80, 5</w:t>
            </w:r>
            <w:r w:rsidR="00B14CF4" w:rsidRPr="00822A03">
              <w:rPr>
                <w:rFonts w:asciiTheme="majorHAnsi" w:hAnsiTheme="majorHAnsi" w:cstheme="majorHAnsi"/>
                <w:b/>
              </w:rPr>
              <w:t xml:space="preserve"> этаж, каб.</w:t>
            </w:r>
            <w:r w:rsidRPr="00822A03">
              <w:rPr>
                <w:rFonts w:asciiTheme="majorHAnsi" w:hAnsiTheme="majorHAnsi" w:cstheme="majorHAnsi"/>
                <w:b/>
              </w:rPr>
              <w:t>521</w:t>
            </w:r>
          </w:p>
        </w:tc>
      </w:tr>
      <w:tr w:rsidR="009C2E3F" w:rsidRPr="00822A03" w14:paraId="3B4329E5" w14:textId="77777777">
        <w:trPr>
          <w:trHeight w:val="512"/>
        </w:trPr>
        <w:tc>
          <w:tcPr>
            <w:tcW w:w="3169" w:type="dxa"/>
            <w:vAlign w:val="center"/>
          </w:tcPr>
          <w:p w14:paraId="3B4329E3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Дата публикации:</w:t>
            </w:r>
          </w:p>
        </w:tc>
        <w:tc>
          <w:tcPr>
            <w:tcW w:w="6251" w:type="dxa"/>
            <w:vAlign w:val="center"/>
          </w:tcPr>
          <w:p w14:paraId="3B4329E4" w14:textId="6D7D69A2" w:rsidR="00AC447D" w:rsidRPr="00822A03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822A03">
              <w:rPr>
                <w:rFonts w:asciiTheme="majorHAnsi" w:hAnsiTheme="majorHAnsi" w:cstheme="majorHAnsi"/>
                <w:b/>
              </w:rPr>
              <w:t>Пятница</w:t>
            </w:r>
            <w:r w:rsidR="003F647E" w:rsidRPr="00822A03">
              <w:rPr>
                <w:rFonts w:asciiTheme="majorHAnsi" w:hAnsiTheme="majorHAnsi" w:cstheme="majorHAnsi"/>
                <w:b/>
              </w:rPr>
              <w:t xml:space="preserve">, </w:t>
            </w:r>
            <w:r w:rsidR="006F4FF4">
              <w:rPr>
                <w:rFonts w:asciiTheme="majorHAnsi" w:hAnsiTheme="majorHAnsi" w:cstheme="majorHAnsi"/>
                <w:b/>
                <w:lang w:val="en-US"/>
              </w:rPr>
              <w:t xml:space="preserve">27 </w:t>
            </w:r>
            <w:r w:rsidR="006F4FF4">
              <w:rPr>
                <w:rFonts w:asciiTheme="majorHAnsi" w:hAnsiTheme="majorHAnsi" w:cstheme="majorHAnsi"/>
                <w:b/>
              </w:rPr>
              <w:t>декабря</w:t>
            </w:r>
            <w:r w:rsidR="00F4245B" w:rsidRPr="00822A03">
              <w:rPr>
                <w:rFonts w:asciiTheme="majorHAnsi" w:hAnsiTheme="majorHAnsi" w:cstheme="majorHAnsi"/>
                <w:b/>
              </w:rPr>
              <w:t xml:space="preserve"> </w:t>
            </w:r>
            <w:r w:rsidR="000356EE" w:rsidRPr="00822A03">
              <w:rPr>
                <w:rFonts w:asciiTheme="majorHAnsi" w:hAnsiTheme="majorHAnsi" w:cstheme="majorHAnsi"/>
                <w:b/>
              </w:rPr>
              <w:t>202</w:t>
            </w:r>
            <w:r w:rsidR="00841C83" w:rsidRPr="00822A03">
              <w:rPr>
                <w:rFonts w:asciiTheme="majorHAnsi" w:hAnsiTheme="majorHAnsi" w:cstheme="majorHAnsi"/>
                <w:b/>
              </w:rPr>
              <w:t>4</w:t>
            </w:r>
            <w:r w:rsidR="00B14CF4" w:rsidRPr="00822A03">
              <w:rPr>
                <w:rFonts w:asciiTheme="majorHAnsi" w:hAnsiTheme="majorHAnsi" w:cstheme="majorHAnsi"/>
                <w:b/>
              </w:rPr>
              <w:t xml:space="preserve"> г. </w:t>
            </w:r>
          </w:p>
        </w:tc>
      </w:tr>
      <w:tr w:rsidR="009C2E3F" w:rsidRPr="00822A03" w14:paraId="3B4329E8" w14:textId="77777777">
        <w:trPr>
          <w:trHeight w:val="488"/>
        </w:trPr>
        <w:tc>
          <w:tcPr>
            <w:tcW w:w="3169" w:type="dxa"/>
            <w:vAlign w:val="center"/>
          </w:tcPr>
          <w:p w14:paraId="3B4329E6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Крайний срок приема КП:</w:t>
            </w:r>
          </w:p>
        </w:tc>
        <w:tc>
          <w:tcPr>
            <w:tcW w:w="6251" w:type="dxa"/>
            <w:vAlign w:val="center"/>
          </w:tcPr>
          <w:p w14:paraId="3B4329E7" w14:textId="16BD7746" w:rsidR="00AC447D" w:rsidRPr="00822A03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822A03">
              <w:rPr>
                <w:rFonts w:asciiTheme="majorHAnsi" w:hAnsiTheme="majorHAnsi" w:cstheme="majorHAnsi"/>
                <w:b/>
              </w:rPr>
              <w:t>Пятница</w:t>
            </w:r>
            <w:r w:rsidR="003F647E" w:rsidRPr="00822A03">
              <w:rPr>
                <w:rFonts w:asciiTheme="majorHAnsi" w:hAnsiTheme="majorHAnsi" w:cstheme="majorHAnsi"/>
                <w:b/>
              </w:rPr>
              <w:t xml:space="preserve">, </w:t>
            </w:r>
            <w:r w:rsidR="00E154F5">
              <w:rPr>
                <w:rFonts w:asciiTheme="majorHAnsi" w:hAnsiTheme="majorHAnsi" w:cstheme="majorHAnsi"/>
                <w:b/>
              </w:rPr>
              <w:t>10 января</w:t>
            </w:r>
            <w:r w:rsidR="00342986" w:rsidRPr="00822A03">
              <w:rPr>
                <w:rFonts w:asciiTheme="majorHAnsi" w:hAnsiTheme="majorHAnsi" w:cstheme="majorHAnsi"/>
                <w:b/>
              </w:rPr>
              <w:t xml:space="preserve"> </w:t>
            </w:r>
            <w:r w:rsidR="00841C83" w:rsidRPr="00822A03">
              <w:rPr>
                <w:rFonts w:asciiTheme="majorHAnsi" w:hAnsiTheme="majorHAnsi" w:cstheme="majorHAnsi"/>
                <w:b/>
              </w:rPr>
              <w:t>202</w:t>
            </w:r>
            <w:r w:rsidR="00E154F5">
              <w:rPr>
                <w:rFonts w:asciiTheme="majorHAnsi" w:hAnsiTheme="majorHAnsi" w:cstheme="majorHAnsi"/>
                <w:b/>
              </w:rPr>
              <w:t>5</w:t>
            </w:r>
            <w:r w:rsidR="00841C83" w:rsidRPr="00822A03">
              <w:rPr>
                <w:rFonts w:asciiTheme="majorHAnsi" w:hAnsiTheme="majorHAnsi" w:cstheme="majorHAnsi"/>
                <w:b/>
              </w:rPr>
              <w:t xml:space="preserve"> г.</w:t>
            </w:r>
          </w:p>
        </w:tc>
      </w:tr>
      <w:tr w:rsidR="009C2E3F" w:rsidRPr="00822A03" w14:paraId="3B4329EB" w14:textId="77777777">
        <w:trPr>
          <w:trHeight w:val="452"/>
        </w:trPr>
        <w:tc>
          <w:tcPr>
            <w:tcW w:w="3169" w:type="dxa"/>
            <w:vAlign w:val="center"/>
          </w:tcPr>
          <w:p w14:paraId="3B4329E9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Справочная информация до:</w:t>
            </w:r>
          </w:p>
        </w:tc>
        <w:tc>
          <w:tcPr>
            <w:tcW w:w="6251" w:type="dxa"/>
            <w:vAlign w:val="center"/>
          </w:tcPr>
          <w:p w14:paraId="3B4329EA" w14:textId="5CEF0B0F" w:rsidR="00AC447D" w:rsidRPr="00822A03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822A03">
              <w:rPr>
                <w:rFonts w:asciiTheme="majorHAnsi" w:hAnsiTheme="majorHAnsi" w:cstheme="majorHAnsi"/>
                <w:b/>
              </w:rPr>
              <w:t>Вторник</w:t>
            </w:r>
            <w:r w:rsidR="001C270F" w:rsidRPr="00822A03">
              <w:rPr>
                <w:rFonts w:asciiTheme="majorHAnsi" w:hAnsiTheme="majorHAnsi" w:cstheme="majorHAnsi"/>
                <w:b/>
              </w:rPr>
              <w:t xml:space="preserve">, </w:t>
            </w:r>
            <w:r w:rsidR="00E154F5">
              <w:rPr>
                <w:rFonts w:asciiTheme="majorHAnsi" w:hAnsiTheme="majorHAnsi" w:cstheme="majorHAnsi"/>
                <w:b/>
              </w:rPr>
              <w:t xml:space="preserve">6 января </w:t>
            </w:r>
            <w:r w:rsidR="001C270F" w:rsidRPr="00822A03">
              <w:rPr>
                <w:rFonts w:asciiTheme="majorHAnsi" w:hAnsiTheme="majorHAnsi" w:cstheme="majorHAnsi"/>
                <w:b/>
              </w:rPr>
              <w:t>202</w:t>
            </w:r>
            <w:r w:rsidR="00E154F5">
              <w:rPr>
                <w:rFonts w:asciiTheme="majorHAnsi" w:hAnsiTheme="majorHAnsi" w:cstheme="majorHAnsi"/>
                <w:b/>
              </w:rPr>
              <w:t>5</w:t>
            </w:r>
            <w:r w:rsidR="00B14CF4" w:rsidRPr="00822A03">
              <w:rPr>
                <w:rFonts w:asciiTheme="majorHAnsi" w:hAnsiTheme="majorHAnsi" w:cstheme="majorHAnsi"/>
                <w:b/>
              </w:rPr>
              <w:t xml:space="preserve"> г. </w:t>
            </w:r>
          </w:p>
        </w:tc>
      </w:tr>
      <w:tr w:rsidR="00AC447D" w:rsidRPr="00822A03" w14:paraId="3B4329F0" w14:textId="77777777">
        <w:trPr>
          <w:trHeight w:val="837"/>
        </w:trPr>
        <w:tc>
          <w:tcPr>
            <w:tcW w:w="3169" w:type="dxa"/>
            <w:vAlign w:val="center"/>
          </w:tcPr>
          <w:p w14:paraId="3B4329EC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 xml:space="preserve">КП направить </w:t>
            </w:r>
          </w:p>
          <w:p w14:paraId="3B4329ED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 xml:space="preserve">на электронную почту: </w:t>
            </w:r>
          </w:p>
        </w:tc>
        <w:tc>
          <w:tcPr>
            <w:tcW w:w="6251" w:type="dxa"/>
            <w:vAlign w:val="center"/>
          </w:tcPr>
          <w:p w14:paraId="3B4329EE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  <w:b/>
              </w:rPr>
            </w:pPr>
            <w:r w:rsidRPr="00822A03">
              <w:rPr>
                <w:rFonts w:asciiTheme="majorHAnsi" w:hAnsiTheme="majorHAnsi" w:cstheme="majorHAnsi"/>
                <w:b/>
              </w:rPr>
              <w:t>Жылдыз Сатыбекова</w:t>
            </w:r>
          </w:p>
          <w:p w14:paraId="3B4329EF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  <w:b/>
              </w:rPr>
            </w:pPr>
            <w:hyperlink r:id="rId7">
              <w:r w:rsidRPr="00822A03">
                <w:rPr>
                  <w:rFonts w:asciiTheme="majorHAnsi" w:hAnsiTheme="majorHAnsi" w:cstheme="majorHAnsi"/>
                  <w:b/>
                  <w:u w:val="single"/>
                </w:rPr>
                <w:t>procurement_kg@ewmi-kg.org</w:t>
              </w:r>
            </w:hyperlink>
          </w:p>
        </w:tc>
      </w:tr>
    </w:tbl>
    <w:p w14:paraId="3B4329F1" w14:textId="77777777" w:rsidR="00AC447D" w:rsidRPr="00822A03" w:rsidRDefault="00AC447D">
      <w:pPr>
        <w:tabs>
          <w:tab w:val="left" w:pos="1800"/>
        </w:tabs>
        <w:ind w:right="26"/>
        <w:rPr>
          <w:rFonts w:asciiTheme="majorHAnsi" w:hAnsiTheme="majorHAnsi" w:cstheme="majorHAnsi"/>
        </w:rPr>
      </w:pPr>
    </w:p>
    <w:tbl>
      <w:tblPr>
        <w:tblStyle w:val="a0"/>
        <w:tblW w:w="948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9C2E3F" w:rsidRPr="00822A03" w14:paraId="3B4329F5" w14:textId="77777777">
        <w:trPr>
          <w:trHeight w:val="630"/>
        </w:trPr>
        <w:tc>
          <w:tcPr>
            <w:tcW w:w="9480" w:type="dxa"/>
            <w:vAlign w:val="center"/>
          </w:tcPr>
          <w:p w14:paraId="3B4329F2" w14:textId="436A28A6" w:rsidR="00AC447D" w:rsidRPr="00822A03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«Ист-Вест Менеджмент Институт, Инк» (EWMI) – это американская некоммерческая организация, продвигающая системы верховенства закона, гражданского общества и свободного предпринимательства во всем мире. EWMI реализует проект «</w:t>
            </w:r>
            <w:r w:rsidR="0043631E" w:rsidRPr="00822A03">
              <w:rPr>
                <w:rFonts w:asciiTheme="majorHAnsi" w:hAnsiTheme="majorHAnsi" w:cstheme="majorHAnsi"/>
              </w:rPr>
              <w:t>Укук Булагы</w:t>
            </w:r>
            <w:r w:rsidRPr="00822A03">
              <w:rPr>
                <w:rFonts w:asciiTheme="majorHAnsi" w:hAnsiTheme="majorHAnsi" w:cstheme="majorHAnsi"/>
              </w:rPr>
              <w:t>», финансируемый Агентством США по международному развитию (АМР США).</w:t>
            </w:r>
          </w:p>
          <w:p w14:paraId="3B4329F3" w14:textId="77777777" w:rsidR="00AC447D" w:rsidRPr="00822A03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822A03">
              <w:rPr>
                <w:rFonts w:asciiTheme="majorHAnsi" w:hAnsiTheme="majorHAnsi" w:cstheme="majorHAnsi"/>
                <w:i/>
              </w:rPr>
              <w:t>EWMI продвигает честную и здоровую конкуренцию в Кыргызской Республике. EWMI</w:t>
            </w:r>
            <w:r w:rsidRPr="00822A03">
              <w:rPr>
                <w:rFonts w:asciiTheme="majorHAnsi" w:hAnsiTheme="majorHAnsi" w:cstheme="majorHAnsi"/>
              </w:rPr>
              <w:t xml:space="preserve"> </w:t>
            </w:r>
            <w:r w:rsidRPr="00822A03">
              <w:rPr>
                <w:rFonts w:asciiTheme="majorHAnsi" w:hAnsiTheme="majorHAnsi" w:cstheme="majorHAnsi"/>
                <w:i/>
              </w:rPr>
              <w:t>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АМР США и Управление генерального инспектора.</w:t>
            </w:r>
          </w:p>
          <w:p w14:paraId="3B4329F4" w14:textId="77777777" w:rsidR="00AC447D" w:rsidRPr="00822A03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822A03">
              <w:rPr>
                <w:rFonts w:asciiTheme="majorHAnsi" w:hAnsiTheme="majorHAnsi" w:cstheme="majorHAnsi"/>
                <w:i/>
              </w:rPr>
              <w:t>Работникам и представителям EWMI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В случае уличения работников и представителей в совершении таких действий, их трудовые договоры подлежат расторжению, и соответствующее уведомление будет направлено в АМР США и Управление генерального инспектора. Кроме того, EWMI вправе уведомлять АМР США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</w:t>
            </w:r>
          </w:p>
        </w:tc>
      </w:tr>
      <w:tr w:rsidR="00AC447D" w:rsidRPr="00822A03" w14:paraId="3B4329FC" w14:textId="77777777">
        <w:trPr>
          <w:trHeight w:val="234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14:paraId="3B4329F6" w14:textId="77777777" w:rsidR="00AC447D" w:rsidRPr="00822A03" w:rsidRDefault="00B14CF4">
            <w:pPr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lastRenderedPageBreak/>
              <w:t>РАЗДЕЛЫ</w:t>
            </w:r>
          </w:p>
          <w:p w14:paraId="3B4329F7" w14:textId="77777777" w:rsidR="00AC447D" w:rsidRPr="00822A03" w:rsidRDefault="00B14CF4">
            <w:pPr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 xml:space="preserve">1. Инструкции </w:t>
            </w:r>
          </w:p>
          <w:p w14:paraId="3B4329F8" w14:textId="77777777" w:rsidR="00AC447D" w:rsidRPr="00822A03" w:rsidRDefault="00B14CF4">
            <w:pPr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 xml:space="preserve">2. Спецификация </w:t>
            </w:r>
          </w:p>
          <w:p w14:paraId="3B4329F9" w14:textId="77777777" w:rsidR="00AC447D" w:rsidRPr="00822A03" w:rsidRDefault="00B14CF4">
            <w:pPr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 xml:space="preserve">3. Условия </w:t>
            </w:r>
          </w:p>
          <w:p w14:paraId="3B4329FA" w14:textId="77777777" w:rsidR="00AC447D" w:rsidRPr="00822A03" w:rsidRDefault="00B14CF4">
            <w:pPr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 xml:space="preserve">4. Критерии оценки/ присуждения контракта </w:t>
            </w:r>
          </w:p>
          <w:p w14:paraId="3B4329FB" w14:textId="77777777" w:rsidR="00AC447D" w:rsidRPr="00822A03" w:rsidRDefault="00B14CF4">
            <w:pPr>
              <w:pStyle w:val="Heading6"/>
              <w:ind w:right="26"/>
              <w:jc w:val="both"/>
              <w:rPr>
                <w:rFonts w:asciiTheme="majorHAnsi" w:eastAsia="Calibri" w:hAnsiTheme="majorHAnsi" w:cstheme="majorHAnsi"/>
                <w:b w:val="0"/>
                <w:sz w:val="22"/>
                <w:szCs w:val="22"/>
              </w:rPr>
            </w:pPr>
            <w:r w:rsidRPr="00822A03">
              <w:rPr>
                <w:rFonts w:asciiTheme="majorHAnsi" w:eastAsia="Calibri" w:hAnsiTheme="majorHAnsi" w:cstheme="majorHAnsi"/>
                <w:b w:val="0"/>
                <w:sz w:val="22"/>
                <w:szCs w:val="22"/>
              </w:rPr>
              <w:t>Вся корреспонденция и / или вопросы относительно данного запроса на представление ценовых предложений должны содержать ссылку на указанный выше номер запроса ценовых предложений и должны отправляться ТОЛЬКО по электронной почте.</w:t>
            </w:r>
          </w:p>
        </w:tc>
      </w:tr>
    </w:tbl>
    <w:p w14:paraId="3B4329FE" w14:textId="77777777" w:rsidR="00AC447D" w:rsidRPr="00822A03" w:rsidRDefault="00AC447D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</w:pPr>
    </w:p>
    <w:p w14:paraId="3B4329FF" w14:textId="77777777" w:rsidR="00AC447D" w:rsidRPr="00822A03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822A03" w:rsidSect="00432EB1">
          <w:footerReference w:type="default" r:id="rId8"/>
          <w:headerReference w:type="first" r:id="rId9"/>
          <w:footerReference w:type="first" r:id="rId10"/>
          <w:pgSz w:w="11909" w:h="16834"/>
          <w:pgMar w:top="1418" w:right="1077" w:bottom="851" w:left="1077" w:header="720" w:footer="720" w:gutter="0"/>
          <w:pgNumType w:start="1"/>
          <w:cols w:space="720"/>
          <w:titlePg/>
        </w:sectPr>
      </w:pPr>
      <w:r w:rsidRPr="00822A03">
        <w:rPr>
          <w:rFonts w:asciiTheme="majorHAnsi" w:hAnsiTheme="majorHAnsi" w:cstheme="majorHAnsi"/>
          <w:b/>
        </w:rPr>
        <w:t xml:space="preserve">1. ИНСТРУКЦИИ </w:t>
      </w:r>
    </w:p>
    <w:p w14:paraId="3B432A00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ОТВЕТСТВЕННОСТЬ ПОСТАВЩИКОВ</w:t>
      </w:r>
      <w:r w:rsidRPr="00822A03">
        <w:rPr>
          <w:rFonts w:asciiTheme="majorHAnsi" w:hAnsiTheme="majorHAnsi" w:cstheme="majorHAnsi"/>
          <w:b/>
        </w:rPr>
        <w:t xml:space="preserve">: </w:t>
      </w:r>
      <w:r w:rsidRPr="00822A03">
        <w:rPr>
          <w:rFonts w:asciiTheme="majorHAnsi" w:hAnsiTheme="majorHAnsi" w:cstheme="majorHAnsi"/>
        </w:rPr>
        <w:t>Поставщикам необходимо обеспечить соответствие своих предложений представленным EMWI в настоящем запросе требованиям, срокам и условиям. Несоответствие предложений требованиям данного запроса может служить основанием для отказа от дальнейшего рассмотрения коммерческого предложения.</w:t>
      </w:r>
    </w:p>
    <w:p w14:paraId="3B432A01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РЕГИСТРАЦИЯ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Организации, отвечающие на этот ЗКП, должны предоставить копию государственной регистрации или лицензии на ведение бизнеса. Лицам, ответившим на данный ЗКП, предлагается предоставить копии регистрационных документов частного предпринимателя и налоговых регистрационных документов.</w:t>
      </w:r>
    </w:p>
    <w:p w14:paraId="3B432A02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КРАЙНИЙ СРОК ПРИЕМА КОММЕРЧЕСКОГО ПРЕДЛОЖЕНИЯ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Предложения должны быть получены не позднее даты и времени, указанных на первой странице ЗКП. Предложения, полученные после указанного времени и даты, будут считаться просроченными и будут рассматриваться только по усмотрению EWMI.</w:t>
      </w:r>
    </w:p>
    <w:p w14:paraId="3B432A03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СПРАВОЧНАЯ ИНФОРМАЦИЯ (крайний срок приема вопросов)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Убедительная просьба, указывать номер ЗКП в любой корреспонденции, относящейся к данному ЗКП. Вопросы, касающиеся технических или административных требований данного ЗКП, направлять на адрес электронной почты, указанный на первой странице данного ЗКП. Вопросы принимаются только в письменной форме, справки по телефону не даются. Вопросы и просьбы о разъяснении, а также ответы, представляющие, по усмотрению EWMI, интерес и для других участников, будут распространяться среди всех участников, изъявивших желание представить свои предложения. Только письменные ответы EWMI будут считаться официальными и иметь силу в процессе обработки и последующей оценки коммерческих предложений. Любая устная информация, полученная у сотрудников EWMI либо третьих сторон, будет считаться неофициальной в отношении данного запроса.   </w:t>
      </w:r>
    </w:p>
    <w:p w14:paraId="3B432A04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ДОСТАВКА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Местом доставки товаров, описанных в данном ЗКП, является офис EWMI в г. Бишкек, Кыргызская Республика (адрес указан на первой странице данного ЗКП). </w:t>
      </w:r>
    </w:p>
    <w:p w14:paraId="3B432A05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РЕКОМЕНДАТЕЛЬНЫЕ ПИСЬМА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Все представленные расценки должны включать текущую контактную информацию как минимум двух (2) клиентов/заказчиков/доноров. EWMI планирует связаться по указанным контактам для определения качества и стабильности предыдущих результатов деятельности каждого поставщика на рынке.</w:t>
      </w:r>
    </w:p>
    <w:p w14:paraId="3B432A06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822A03">
        <w:rPr>
          <w:rFonts w:asciiTheme="majorHAnsi" w:hAnsiTheme="majorHAnsi" w:cstheme="majorHAnsi"/>
          <w:b/>
          <w:u w:val="single"/>
        </w:rPr>
        <w:t>СПИСОК НЕОБХОДИМОЙ ДОКУМЕНТАЦИИ К КП:</w:t>
      </w:r>
      <w:r w:rsidRPr="00822A03">
        <w:rPr>
          <w:rFonts w:asciiTheme="majorHAnsi" w:hAnsiTheme="majorHAnsi" w:cstheme="majorHAnsi"/>
        </w:rPr>
        <w:t xml:space="preserve"> Предложения должны быть представлены в виде прикрепленного файла (в формате .PDF или MS Word и Excel). Убедительная просьба не отправлять ценовое предложение в случае отсутствия необходимой документации к нему.  С целью оказания содействия оферентам в подготовке предложений, ниже указан список необходимой документации к ценовому предложению для рассмотрения данного ЗКП.</w:t>
      </w:r>
    </w:p>
    <w:p w14:paraId="3B432A07" w14:textId="77777777" w:rsidR="00AC447D" w:rsidRPr="00822A03" w:rsidRDefault="00B14CF4">
      <w:pPr>
        <w:rPr>
          <w:rFonts w:asciiTheme="majorHAnsi" w:hAnsiTheme="majorHAnsi" w:cstheme="majorHAnsi"/>
          <w:b/>
        </w:rPr>
      </w:pPr>
      <w:r w:rsidRPr="00822A03">
        <w:rPr>
          <w:rFonts w:asciiTheme="majorHAnsi" w:hAnsiTheme="majorHAnsi" w:cstheme="majorHAnsi"/>
          <w:b/>
        </w:rPr>
        <w:lastRenderedPageBreak/>
        <w:t>1. Сопроводительное письмо на фирменном бланке компании за подписью уполномоченного представителя поставщика. (Приложение А к настоящему запросу.)</w:t>
      </w:r>
    </w:p>
    <w:p w14:paraId="3B432A08" w14:textId="77777777" w:rsidR="00AC447D" w:rsidRPr="00822A03" w:rsidRDefault="00B14CF4">
      <w:pPr>
        <w:jc w:val="both"/>
        <w:rPr>
          <w:rFonts w:asciiTheme="majorHAnsi" w:hAnsiTheme="majorHAnsi" w:cstheme="majorHAnsi"/>
          <w:b/>
        </w:rPr>
      </w:pPr>
      <w:r w:rsidRPr="00822A03">
        <w:rPr>
          <w:rFonts w:asciiTheme="majorHAnsi" w:hAnsiTheme="majorHAnsi" w:cstheme="majorHAnsi"/>
          <w:b/>
        </w:rPr>
        <w:t>2. Таблица коммерческих предложений: заполните наш шаблон таблицы коммерческих предложений (Приложение B к настоящему запросу), перечислив все характеристики предлагаемых товаров, и отправьте их в виде документа MS Excel.</w:t>
      </w:r>
    </w:p>
    <w:p w14:paraId="3B432A0A" w14:textId="2B68A0DE" w:rsidR="00AC447D" w:rsidRPr="00822A03" w:rsidRDefault="00B14CF4" w:rsidP="00A77E70">
      <w:pPr>
        <w:jc w:val="both"/>
        <w:rPr>
          <w:rFonts w:asciiTheme="majorHAnsi" w:hAnsiTheme="majorHAnsi" w:cstheme="majorHAnsi"/>
          <w:b/>
        </w:rPr>
      </w:pPr>
      <w:r w:rsidRPr="00822A03">
        <w:rPr>
          <w:rFonts w:asciiTheme="majorHAnsi" w:hAnsiTheme="majorHAnsi" w:cstheme="majorHAnsi"/>
          <w:b/>
        </w:rPr>
        <w:t>3. Копия свидетельства о государственной регистрации поставщика</w:t>
      </w:r>
      <w:r w:rsidR="00E54F21" w:rsidRPr="00822A03">
        <w:rPr>
          <w:rFonts w:asciiTheme="majorHAnsi" w:hAnsiTheme="majorHAnsi" w:cstheme="majorHAnsi"/>
          <w:b/>
        </w:rPr>
        <w:t>, копия Устава</w:t>
      </w:r>
      <w:r w:rsidRPr="00822A03">
        <w:rPr>
          <w:rFonts w:asciiTheme="majorHAnsi" w:hAnsiTheme="majorHAnsi" w:cstheme="majorHAnsi"/>
          <w:b/>
        </w:rPr>
        <w:t>.</w:t>
      </w:r>
    </w:p>
    <w:p w14:paraId="3B432A0D" w14:textId="704A5246" w:rsidR="00AC447D" w:rsidRPr="00822A03" w:rsidRDefault="00A77E70" w:rsidP="00A77E70">
      <w:pPr>
        <w:rPr>
          <w:rFonts w:asciiTheme="majorHAnsi" w:hAnsiTheme="majorHAnsi" w:cstheme="majorHAnsi"/>
          <w:b/>
        </w:rPr>
        <w:sectPr w:rsidR="00AC447D" w:rsidRPr="00822A03" w:rsidSect="00432EB1">
          <w:type w:val="continuous"/>
          <w:pgSz w:w="11909" w:h="16834"/>
          <w:pgMar w:top="1798" w:right="1440" w:bottom="1440" w:left="1440" w:header="720" w:footer="720" w:gutter="0"/>
          <w:cols w:space="720"/>
        </w:sectPr>
      </w:pPr>
      <w:r w:rsidRPr="00822A03">
        <w:rPr>
          <w:rFonts w:asciiTheme="majorHAnsi" w:hAnsiTheme="majorHAnsi" w:cstheme="majorHAnsi"/>
          <w:b/>
        </w:rPr>
        <w:t xml:space="preserve">4. </w:t>
      </w:r>
      <w:r w:rsidR="00B14CF4" w:rsidRPr="00822A03">
        <w:rPr>
          <w:rFonts w:asciiTheme="majorHAnsi" w:hAnsiTheme="majorHAnsi" w:cstheme="majorHAnsi"/>
          <w:b/>
        </w:rPr>
        <w:t>Рекомендательные письма (не менее двух)</w:t>
      </w:r>
    </w:p>
    <w:p w14:paraId="3B432A0E" w14:textId="77777777" w:rsidR="00AC447D" w:rsidRPr="00822A03" w:rsidRDefault="00AC447D">
      <w:pPr>
        <w:rPr>
          <w:rFonts w:asciiTheme="majorHAnsi" w:hAnsiTheme="majorHAnsi" w:cstheme="majorHAnsi"/>
          <w:b/>
        </w:rPr>
      </w:pPr>
    </w:p>
    <w:p w14:paraId="3B432A0F" w14:textId="1E95E6CA" w:rsidR="00AC447D" w:rsidRPr="00822A03" w:rsidRDefault="00B14CF4">
      <w:pPr>
        <w:rPr>
          <w:rFonts w:asciiTheme="majorHAnsi" w:hAnsiTheme="majorHAnsi" w:cstheme="majorHAnsi"/>
          <w:b/>
        </w:rPr>
        <w:sectPr w:rsidR="00AC447D" w:rsidRPr="00822A03" w:rsidSect="00432EB1">
          <w:type w:val="continuous"/>
          <w:pgSz w:w="11909" w:h="16834"/>
          <w:pgMar w:top="1798" w:right="1440" w:bottom="1440" w:left="1440" w:header="720" w:footer="720" w:gutter="0"/>
          <w:cols w:space="720"/>
        </w:sectPr>
      </w:pPr>
      <w:r w:rsidRPr="00822A03">
        <w:rPr>
          <w:rFonts w:asciiTheme="majorHAnsi" w:hAnsiTheme="majorHAnsi" w:cstheme="majorHAnsi"/>
          <w:b/>
        </w:rPr>
        <w:t>2. Спецификация</w:t>
      </w:r>
    </w:p>
    <w:p w14:paraId="3B432A12" w14:textId="40502987" w:rsidR="00AC447D" w:rsidRPr="00822A03" w:rsidRDefault="00B14CF4">
      <w:pPr>
        <w:spacing w:before="60"/>
        <w:rPr>
          <w:rFonts w:asciiTheme="majorHAnsi" w:hAnsiTheme="majorHAnsi" w:cstheme="majorHAnsi"/>
          <w:b/>
        </w:rPr>
      </w:pPr>
      <w:r w:rsidRPr="00822A03">
        <w:rPr>
          <w:rFonts w:asciiTheme="majorHAnsi" w:hAnsiTheme="majorHAnsi" w:cstheme="majorHAnsi"/>
          <w:b/>
          <w:u w:val="single"/>
        </w:rPr>
        <w:t>Ценовое предложение должно быть представлено согласно нижеследующим инструкциям</w:t>
      </w:r>
      <w:r w:rsidRPr="00822A03">
        <w:rPr>
          <w:rFonts w:asciiTheme="majorHAnsi" w:hAnsiTheme="majorHAnsi" w:cstheme="majorHAnsi"/>
          <w:b/>
        </w:rPr>
        <w:t xml:space="preserve">: </w:t>
      </w:r>
    </w:p>
    <w:p w14:paraId="3B432A13" w14:textId="15FF1394" w:rsidR="00AC447D" w:rsidRPr="00822A03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Стоимость должна быть указаны в кыргызских сомах (KGS)</w:t>
      </w:r>
      <w:r w:rsidR="0060714A" w:rsidRPr="00822A03">
        <w:rPr>
          <w:rFonts w:asciiTheme="majorHAnsi" w:hAnsiTheme="majorHAnsi" w:cstheme="majorHAnsi"/>
        </w:rPr>
        <w:t xml:space="preserve"> или долларах США (</w:t>
      </w:r>
      <w:r w:rsidR="0060714A" w:rsidRPr="00822A03">
        <w:rPr>
          <w:rFonts w:asciiTheme="majorHAnsi" w:hAnsiTheme="majorHAnsi" w:cstheme="majorHAnsi"/>
          <w:lang w:val="en-US"/>
        </w:rPr>
        <w:t>USD</w:t>
      </w:r>
      <w:r w:rsidR="0060714A" w:rsidRPr="00822A03">
        <w:rPr>
          <w:rFonts w:asciiTheme="majorHAnsi" w:hAnsiTheme="majorHAnsi" w:cstheme="majorHAnsi"/>
        </w:rPr>
        <w:t>)</w:t>
      </w:r>
      <w:r w:rsidRPr="00822A03">
        <w:rPr>
          <w:rFonts w:asciiTheme="majorHAnsi" w:hAnsiTheme="majorHAnsi" w:cstheme="majorHAnsi"/>
        </w:rPr>
        <w:t xml:space="preserve">. </w:t>
      </w:r>
    </w:p>
    <w:p w14:paraId="3B432A14" w14:textId="77777777" w:rsidR="00AC447D" w:rsidRPr="00822A03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Стоимость указывается без учета налога с продаж.</w:t>
      </w:r>
    </w:p>
    <w:p w14:paraId="3B432A15" w14:textId="594477F9" w:rsidR="00AC447D" w:rsidRPr="00822A03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Предложения, представленные в ответ на данный ЗКП, должны иметь фиксированную цену и включать все расходы, в том числе доставку, материалы</w:t>
      </w:r>
      <w:r w:rsidR="00743061" w:rsidRPr="00822A03">
        <w:rPr>
          <w:rFonts w:asciiTheme="majorHAnsi" w:hAnsiTheme="majorHAnsi" w:cstheme="majorHAnsi"/>
        </w:rPr>
        <w:t xml:space="preserve"> </w:t>
      </w:r>
      <w:r w:rsidRPr="00822A03">
        <w:rPr>
          <w:rFonts w:asciiTheme="majorHAnsi" w:hAnsiTheme="majorHAnsi" w:cstheme="majorHAnsi"/>
        </w:rPr>
        <w:t xml:space="preserve">и прочие расходы. </w:t>
      </w:r>
    </w:p>
    <w:p w14:paraId="3B432A16" w14:textId="77777777" w:rsidR="00AC447D" w:rsidRPr="00822A03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НДС по каждой позиции должен быть указан в отдельной строке. Цены должны отображать общую стоимость каждого товара без учета НДС и общую стоимость с учетом НДС.</w:t>
      </w:r>
    </w:p>
    <w:p w14:paraId="3B432A17" w14:textId="7FB26B64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Срок действия предложения</w:t>
      </w:r>
      <w:r w:rsidRPr="00822A03">
        <w:rPr>
          <w:rFonts w:asciiTheme="majorHAnsi" w:hAnsiTheme="majorHAnsi" w:cstheme="majorHAnsi"/>
        </w:rPr>
        <w:t>: Срок действия ценового предложения составляет тридцать (</w:t>
      </w:r>
      <w:r w:rsidR="0060714A" w:rsidRPr="00822A03">
        <w:rPr>
          <w:rFonts w:asciiTheme="majorHAnsi" w:hAnsiTheme="majorHAnsi" w:cstheme="majorHAnsi"/>
        </w:rPr>
        <w:t>4</w:t>
      </w:r>
      <w:r w:rsidRPr="00822A03">
        <w:rPr>
          <w:rFonts w:asciiTheme="majorHAnsi" w:hAnsiTheme="majorHAnsi" w:cstheme="majorHAnsi"/>
        </w:rPr>
        <w:t xml:space="preserve">0) дней с момента истечения срока приема ЗКП. </w:t>
      </w:r>
    </w:p>
    <w:p w14:paraId="5FE692A7" w14:textId="77777777" w:rsidR="00FE2A2C" w:rsidRPr="00822A03" w:rsidRDefault="00FE2A2C">
      <w:pPr>
        <w:spacing w:before="60"/>
        <w:jc w:val="both"/>
        <w:rPr>
          <w:rFonts w:asciiTheme="majorHAnsi" w:hAnsiTheme="majorHAnsi" w:cstheme="majorHAnsi"/>
        </w:rPr>
      </w:pPr>
    </w:p>
    <w:tbl>
      <w:tblPr>
        <w:tblStyle w:val="TableGrid"/>
        <w:tblW w:w="10348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05"/>
        <w:gridCol w:w="3932"/>
        <w:gridCol w:w="1859"/>
        <w:gridCol w:w="1568"/>
        <w:gridCol w:w="1984"/>
      </w:tblGrid>
      <w:tr w:rsidR="005C36C9" w:rsidRPr="00822A03" w14:paraId="5E2A27CE" w14:textId="77777777" w:rsidTr="00132EC3">
        <w:trPr>
          <w:trHeight w:val="3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C97E9AD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3932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AEC713B" w14:textId="77777777" w:rsidR="005C36C9" w:rsidRPr="00822A03" w:rsidRDefault="005C36C9" w:rsidP="00132EC3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Название оборудования</w:t>
            </w:r>
          </w:p>
        </w:tc>
        <w:tc>
          <w:tcPr>
            <w:tcW w:w="185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BC0C709" w14:textId="77777777" w:rsidR="005C36C9" w:rsidRPr="00822A03" w:rsidRDefault="005C36C9" w:rsidP="00132EC3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Кол-во ед.</w:t>
            </w:r>
          </w:p>
        </w:tc>
        <w:tc>
          <w:tcPr>
            <w:tcW w:w="1568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DA0A5F8" w14:textId="77777777" w:rsidR="005C36C9" w:rsidRPr="00822A03" w:rsidRDefault="005C36C9" w:rsidP="00132EC3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Ориентир-я стоимость за 1 ед.</w:t>
            </w:r>
          </w:p>
          <w:p w14:paraId="770C051D" w14:textId="77777777" w:rsidR="005C36C9" w:rsidRPr="00822A03" w:rsidRDefault="005C36C9" w:rsidP="00132EC3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  <w:lang w:val="en-US"/>
              </w:rPr>
              <w:t>USD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2D2A90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Итого</w:t>
            </w: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  <w:lang w:val="en-US"/>
              </w:rPr>
              <w:t>,</w:t>
            </w:r>
          </w:p>
          <w:p w14:paraId="16C6A810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  <w:lang w:val="en-US"/>
              </w:rPr>
              <w:t>USD</w:t>
            </w:r>
          </w:p>
        </w:tc>
      </w:tr>
      <w:tr w:rsidR="005C36C9" w:rsidRPr="00822A03" w14:paraId="1DEEF3B0" w14:textId="77777777" w:rsidTr="00132EC3">
        <w:trPr>
          <w:trHeight w:val="300"/>
        </w:trPr>
        <w:tc>
          <w:tcPr>
            <w:tcW w:w="1005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245FA4E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9343" w:type="dxa"/>
            <w:gridSpan w:val="4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1A04E77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 xml:space="preserve">Компьютеры </w:t>
            </w:r>
          </w:p>
        </w:tc>
      </w:tr>
      <w:tr w:rsidR="005C36C9" w:rsidRPr="00822A03" w14:paraId="2D67BD44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3077336" w14:textId="77777777" w:rsidR="005C36C9" w:rsidRPr="00822A03" w:rsidRDefault="005C36C9" w:rsidP="00132EC3">
            <w:pPr>
              <w:spacing w:line="276" w:lineRule="auto"/>
              <w:ind w:left="27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FDBDB5F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Монитор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LCD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23.6"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LG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24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38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-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B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TN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, 1920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1080,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AMD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FreeSync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, 1000:1, 200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cd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/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2, 170/160, 5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ms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VGA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307BB5FC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150162BC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1358622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6D065C03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FD4975E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19BFDDCC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Процессор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 xml:space="preserve"> Intel Core i3-10100F, LGA1200, 3.6-4.3GHz, 6MB Cache L3, no VGA, EMT64,4 Cores + 8 Threads,Box,Comet Lake - T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70AC9D45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291A48D1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068515D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3FD04820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04C96A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5AAFB7C1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Материнская плата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Gigabyte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H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410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H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V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2,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LGA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1200,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Intel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H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470, 2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xDDR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4, 1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xPCI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-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E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16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, 2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xPCI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-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E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1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Sound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8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Ch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GBLAN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, 4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SATA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+1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.2,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mATX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, 4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USB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3.2+6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SUSB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2.0,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VGA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HDMI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2229558F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26C41EC0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CDC7062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</w:pPr>
          </w:p>
        </w:tc>
      </w:tr>
      <w:tr w:rsidR="005C36C9" w:rsidRPr="00822A03" w14:paraId="356F726D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6BDC60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28F2262B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DDR4 8GB PC-21333 (2666MHz) CRUCIAL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6CAF0A8C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6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12348F47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569585C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18818D9D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F85917F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122B7D12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SSD HIKVISION HS-SSD-C100 240GB TLC 2,5"" SATAIII BULK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2969DD67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5D5F854B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897606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18FE8ECD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2273D0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6DC1B9BE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DELUX mATX DLC-J603 305*170*355mm BLACK TAC 2.0 W/O PSU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3BFF9D4B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5842160B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A548EFE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08FE868F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8B910EE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6ECB7F15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Power Unit DELUX DLP-25D 300W(360A)20+4PIN,2*SATA,3*big 4pin,1*small 4pin,1*12CM fan,Without ON/OFF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0FD735F4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4E3D85B7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93FA08A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13EECE75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77CC6CF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78E3C924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CPU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кулер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DEEPCOOL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THETA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-15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PWM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LGA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115*/1200 100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25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,800-2800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rpm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55A85107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35396990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69381FD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145A9BDD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B73289C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1BE9B4CD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Delux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KA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180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U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мультимендийная клавиатура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slim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keyboard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black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USB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RUS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+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KG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6FC9E4ED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2F604ABD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C200B34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6659254A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31A3C2F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5083BB2D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Компьютерная мышь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A4TECH OP-330 1200DPI USB BLACK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68B0A0F6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5B1BE19F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7AB6BF3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2EFF9AA8" w14:textId="77777777" w:rsidTr="00132EC3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4F863D3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481A4442" w14:textId="77777777" w:rsidR="005C36C9" w:rsidRPr="00822A03" w:rsidRDefault="005C36C9" w:rsidP="00132EC3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 xml:space="preserve">Мультифункциональный принтер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Canon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image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Class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MF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3010 (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A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4,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Printer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Scanner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Copier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, 1200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x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600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dpi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, 18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ppm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, +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USB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cable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UK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plug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б, картридж 925)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32B97111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0F3371E5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3A51411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30294152" w14:textId="77777777" w:rsidTr="00132EC3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EDCE7A4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7359" w:type="dxa"/>
            <w:gridSpan w:val="3"/>
            <w:tcMar>
              <w:left w:w="90" w:type="dxa"/>
              <w:right w:w="90" w:type="dxa"/>
            </w:tcMar>
            <w:vAlign w:val="center"/>
          </w:tcPr>
          <w:p w14:paraId="1BAF326E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Итого за оборудование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B2E741D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</w:tbl>
    <w:p w14:paraId="3B432A19" w14:textId="669438A4" w:rsidR="00AC447D" w:rsidRPr="00822A03" w:rsidRDefault="00AC447D">
      <w:pPr>
        <w:rPr>
          <w:rFonts w:asciiTheme="majorHAnsi" w:hAnsiTheme="majorHAnsi" w:cstheme="majorHAnsi"/>
          <w:b/>
        </w:rPr>
      </w:pPr>
    </w:p>
    <w:p w14:paraId="3B432A1A" w14:textId="77777777" w:rsidR="00AC447D" w:rsidRPr="00822A03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822A03" w:rsidSect="00432EB1">
          <w:type w:val="continuous"/>
          <w:pgSz w:w="11909" w:h="16834"/>
          <w:pgMar w:top="1808" w:right="1440" w:bottom="1440" w:left="1440" w:header="720" w:footer="720" w:gutter="0"/>
          <w:cols w:space="720"/>
        </w:sectPr>
      </w:pPr>
      <w:r w:rsidRPr="00822A03">
        <w:rPr>
          <w:rFonts w:asciiTheme="majorHAnsi" w:hAnsiTheme="majorHAnsi" w:cstheme="majorHAnsi"/>
          <w:b/>
        </w:rPr>
        <w:t xml:space="preserve">3. УСЛОВИЯ  </w:t>
      </w:r>
    </w:p>
    <w:p w14:paraId="3B432A1B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Общие</w:t>
      </w:r>
      <w:r w:rsidRPr="00822A03">
        <w:rPr>
          <w:rFonts w:asciiTheme="majorHAnsi" w:hAnsiTheme="majorHAnsi" w:cstheme="majorHAnsi"/>
        </w:rPr>
        <w:t xml:space="preserve">: EWMI не обязан выносить какое-либо решение на основании данного ЗКП. EWMI оставляет за собой право: 1) отклонить коммерческое предложение какого-либо поставщика, если, по мнению EWMI, поставщик не несет ответственности или не отвечает интересам EWMI; 2) выдавать заказы на поставку </w:t>
      </w:r>
      <w:r w:rsidRPr="00822A03">
        <w:rPr>
          <w:rFonts w:asciiTheme="majorHAnsi" w:hAnsiTheme="majorHAnsi" w:cstheme="majorHAnsi"/>
          <w:u w:val="single"/>
        </w:rPr>
        <w:t>нескольким поставщикам</w:t>
      </w:r>
      <w:r w:rsidRPr="00822A03">
        <w:rPr>
          <w:rFonts w:asciiTheme="majorHAnsi" w:hAnsiTheme="majorHAnsi" w:cstheme="majorHAnsi"/>
        </w:rPr>
        <w:t xml:space="preserve"> на основе того, что является наиболее выгодным для EWMI, времени доставки, цены, качества и других рассмотренных критериев присуждения контракта; 3) вести переговоры и / или запрашивать разъяснения у какого-либо поставщика до присуждения контракта; 4) увеличивать или уменьшать количество должным образом присужденных позиций в соответствии с ЗКП по предложенной цене за единицу. Данный вариант должен быть реализован на момент присуждения контракта или до шестидесяти (60) дней спустя, в случае если обе стороны договорились об этом; 5) удалить какую-либо позицию из ЗКП. Данный вариант должен быть реализован на момент присуждения контракта; 6) оформить отдельные заказы на закупку для каждой позиции или партии оборудования в зависимости от дат поставки или других критериев присуждения контракта и 7) отменить данный ЗКП в любое время.</w:t>
      </w:r>
    </w:p>
    <w:p w14:paraId="3B432A1C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Цены ЗКП</w:t>
      </w:r>
      <w:r w:rsidRPr="00822A03">
        <w:rPr>
          <w:rFonts w:asciiTheme="majorHAnsi" w:hAnsiTheme="majorHAnsi" w:cstheme="majorHAnsi"/>
        </w:rPr>
        <w:t>: Это только запрос коммерческих предложений и никоим образом не обязывает EWMI или АМР США присуждать контракт или подписывать договор купли-продажи или оплачивать расходы, понесенные потенциальными оферентами при подготовке и подаче предложения.</w:t>
      </w:r>
    </w:p>
    <w:p w14:paraId="3B432A1D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Право собственности на товар</w:t>
      </w:r>
      <w:r w:rsidRPr="00822A03">
        <w:rPr>
          <w:rFonts w:asciiTheme="majorHAnsi" w:hAnsiTheme="majorHAnsi" w:cstheme="majorHAnsi"/>
        </w:rPr>
        <w:t>: Право собственности на любые товары, поставленные по любому присуждению, вытекающему из данного ЗКП, переходит к EWMI после доставки и письменной приемки товаров уполномоченным представителем EWMI. Риск случайной гибели и порчи товара несет поставщик до тех пор, пока право собственности не перейдет к EWMI.</w:t>
      </w:r>
    </w:p>
    <w:p w14:paraId="3B432A1E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Ограничения:</w:t>
      </w:r>
      <w:r w:rsidRPr="00822A03">
        <w:rPr>
          <w:rFonts w:asciiTheme="majorHAnsi" w:hAnsiTheme="majorHAnsi" w:cstheme="majorHAnsi"/>
        </w:rPr>
        <w:t xml:space="preserve"> Все предлагаемые товары и услуги должны соответствовать географическому коду АМР 937 (США, Кыргызская Республика и развивающиеся страны, кроме развитых стран, но за исключением любой страны, которая является запрещенным источником) и 110 (США, независимые государства бывшего Советского Союза, или развивающаяся страна, но исключая любую страну, которая является запрещенным источником) в соответствии с Кодексом федеральных правил США, 22 CFR §228. Поставщики не могут предлагать или поставлять какие-либо товары или услуги из стран с ограничениями внешней политики США.</w:t>
      </w:r>
    </w:p>
    <w:p w14:paraId="3B432A1F" w14:textId="1436B398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lastRenderedPageBreak/>
        <w:t>Условия договора купли-продажи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EWMI оставляет за собой право вносить поправки или изменять положения и условия со всеми потенциальными поставщиками до присуждения контракта.</w:t>
      </w:r>
    </w:p>
    <w:p w14:paraId="3B432A20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Условия оплаты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Платежи будут производиться в кыргызских сомах банковским переводом в указанный банк в Кыргызской Республике, указанный поставщиком, выигравшим данную закупку. Обычно первоначальный депозит в размере 30% вносится при присуждении и подписании контракта, а оставшаяся часть платежа производится после завершения поставки и приема товаров EWMI.</w:t>
      </w:r>
    </w:p>
    <w:p w14:paraId="3B432A21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Правомочные участники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Представляя свое коммерческое предложение, участник подтверждает, что его/ее компания и руководящий состав не лишены права, отстранены либо иным образом признаны Правительством США несоответствующим требованиям для заключения контракта. EWMI не заключает договоры с компаниями, лишенными права, отстраненными либо иным образом признанными Правительством США несоответствующими требованиям для заключения контракта. </w:t>
      </w:r>
    </w:p>
    <w:p w14:paraId="3B432A22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Претензии</w:t>
      </w:r>
      <w:r w:rsidRPr="00822A03">
        <w:rPr>
          <w:rFonts w:asciiTheme="majorHAnsi" w:hAnsiTheme="majorHAnsi" w:cstheme="majorHAnsi"/>
        </w:rPr>
        <w:t>: Отправляя ответ на данный ЗКП, поставщик понимает, что АМР США не является стороной этого запроса, и поставщик признает, что любая претензия по настоящему документу должна быть представлена - в письменной форме с полным разъяснением - в EWMI для рассмотрения, поскольку АМР США не рассматривает претензии по вопросам закупки, осуществляемые партнерами-исполнителями. EWMI по своему усмотрению примет окончательное решение по претензии относительно этой закупки.</w:t>
      </w:r>
    </w:p>
    <w:p w14:paraId="3B432A23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  <w:sectPr w:rsidR="00AC447D" w:rsidRPr="00822A03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822A03">
        <w:rPr>
          <w:rFonts w:asciiTheme="majorHAnsi" w:hAnsiTheme="majorHAnsi" w:cstheme="majorHAnsi"/>
          <w:b/>
          <w:u w:val="single"/>
        </w:rPr>
        <w:t>Программное обеспечение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Поставщики не вправе устанавливать на компьютеры пиратское программное обеспечение. Все предустановленные Windows или другое программное обеспечение должно включать сертификат подлинности или другое подтверждение лицензии.</w:t>
      </w:r>
    </w:p>
    <w:p w14:paraId="3B432A24" w14:textId="77777777" w:rsidR="00AC447D" w:rsidRPr="00822A03" w:rsidRDefault="00AC447D">
      <w:pPr>
        <w:spacing w:before="60"/>
        <w:rPr>
          <w:rFonts w:asciiTheme="majorHAnsi" w:hAnsiTheme="majorHAnsi" w:cstheme="majorHAnsi"/>
          <w:b/>
        </w:rPr>
      </w:pPr>
    </w:p>
    <w:p w14:paraId="3B432A25" w14:textId="77777777" w:rsidR="00AC447D" w:rsidRPr="00822A03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822A03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822A03">
        <w:rPr>
          <w:rFonts w:asciiTheme="majorHAnsi" w:hAnsiTheme="majorHAnsi" w:cstheme="majorHAnsi"/>
          <w:b/>
        </w:rPr>
        <w:t>4. КРИТЕРИИ ОЦЕНКИ/ ПРИСУЖДЕНИЯ КОНТРАКТА</w:t>
      </w:r>
    </w:p>
    <w:p w14:paraId="3B432A26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Предложения будут оцениваться на основе следующих критериев без определенного порядка:</w:t>
      </w:r>
    </w:p>
    <w:p w14:paraId="3B432A27" w14:textId="77777777" w:rsidR="00AC447D" w:rsidRPr="00822A03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Срок поставки / выполнения работ</w:t>
      </w:r>
    </w:p>
    <w:p w14:paraId="3B432A28" w14:textId="77777777" w:rsidR="00AC447D" w:rsidRPr="00822A03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Соответствие требованиям ЗКП, спецификаций каждого артикула и инструкций ЗКП</w:t>
      </w:r>
    </w:p>
    <w:p w14:paraId="3B432A29" w14:textId="77777777" w:rsidR="00AC447D" w:rsidRPr="00822A03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Цена: самая низкая оценочная цена (включая количество опций) каждой позиции при условии, что предложение Поставщика соответствует спецификациям, доставке, другим требованиям и условиям ЗКП.</w:t>
      </w:r>
    </w:p>
    <w:p w14:paraId="3B432A2A" w14:textId="77777777" w:rsidR="00AC447D" w:rsidRPr="00822A03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Квалификация и прошлые результаты работы</w:t>
      </w:r>
    </w:p>
    <w:p w14:paraId="3B432A2B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  <w:sectPr w:rsidR="00AC447D" w:rsidRPr="00822A03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822A03">
        <w:rPr>
          <w:rFonts w:asciiTheme="majorHAnsi" w:hAnsiTheme="majorHAnsi" w:cstheme="majorHAnsi"/>
        </w:rPr>
        <w:t>Оперативное предложение – это предложение, которое соответствует всем условиям и техническим требованиям ЗКП не требующее существенных изменений. Внесение существенных изменений – это модификация, которая влияет на цену, количество, качество, дату поставки требования или каким-либо образом ограничивает ответственность и обязанности участников. В случае обнаружения существенных недостатков в отношении соответствия требованиям данного ЗКП, предложение может считаться «не отвечающим требованиям» и, таким образом, не приниматься к рассмотрению. EWMI оставляет за собой право отказаться от несущественных недостатков по своему усмотрению.</w:t>
      </w:r>
    </w:p>
    <w:p w14:paraId="3B432A2C" w14:textId="77777777" w:rsidR="00AC447D" w:rsidRPr="00822A03" w:rsidRDefault="00AC447D">
      <w:pPr>
        <w:rPr>
          <w:rFonts w:asciiTheme="majorHAnsi" w:hAnsiTheme="majorHAnsi" w:cstheme="majorHAnsi"/>
          <w:b/>
        </w:rPr>
      </w:pPr>
    </w:p>
    <w:sectPr w:rsidR="00AC447D" w:rsidRPr="00822A03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8A377" w14:textId="77777777" w:rsidR="005E75B5" w:rsidRDefault="005E75B5">
      <w:pPr>
        <w:spacing w:line="240" w:lineRule="auto"/>
      </w:pPr>
      <w:r>
        <w:separator/>
      </w:r>
    </w:p>
  </w:endnote>
  <w:endnote w:type="continuationSeparator" w:id="0">
    <w:p w14:paraId="6C7D1F9A" w14:textId="77777777" w:rsidR="005E75B5" w:rsidRDefault="005E7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2D" w14:textId="72D29960" w:rsidR="00AC447D" w:rsidRDefault="00B14C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00"/>
      </w:tabs>
      <w:spacing w:line="240" w:lineRule="auto"/>
      <w:rPr>
        <w:color w:val="000000"/>
      </w:rPr>
    </w:pPr>
    <w:r>
      <w:rPr>
        <w:color w:val="000000"/>
      </w:rPr>
      <w:t>RFQ 304-3041-202</w:t>
    </w:r>
    <w:r w:rsidR="00FE2A2C">
      <w:rPr>
        <w:color w:val="000000"/>
      </w:rPr>
      <w:t>4</w:t>
    </w:r>
    <w:r>
      <w:rPr>
        <w:color w:val="000000"/>
      </w:rPr>
      <w:t>-0</w:t>
    </w:r>
    <w:r w:rsidR="00A34F36">
      <w:rPr>
        <w:color w:val="000000"/>
      </w:rPr>
      <w:t>3</w:t>
    </w:r>
    <w:r w:rsidR="00BA351E">
      <w:rPr>
        <w:color w:val="000000"/>
        <w:lang w:val="en-US"/>
      </w:rPr>
      <w:t>3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3831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34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  <w:p w14:paraId="3B432A35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3941" w14:textId="77777777" w:rsidR="005E75B5" w:rsidRDefault="005E75B5">
      <w:pPr>
        <w:spacing w:line="240" w:lineRule="auto"/>
      </w:pPr>
      <w:r>
        <w:separator/>
      </w:r>
    </w:p>
  </w:footnote>
  <w:footnote w:type="continuationSeparator" w:id="0">
    <w:p w14:paraId="36AF92D9" w14:textId="77777777" w:rsidR="005E75B5" w:rsidRDefault="005E7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2E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2F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30" w14:textId="77777777" w:rsidR="00AC447D" w:rsidRDefault="00B14C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3B432A36" wp14:editId="3B432A37">
          <wp:simplePos x="0" y="0"/>
          <wp:positionH relativeFrom="margin">
            <wp:posOffset>-19048</wp:posOffset>
          </wp:positionH>
          <wp:positionV relativeFrom="page">
            <wp:posOffset>838200</wp:posOffset>
          </wp:positionV>
          <wp:extent cx="1695450" cy="581025"/>
          <wp:effectExtent l="0" t="0" r="0" b="0"/>
          <wp:wrapNone/>
          <wp:docPr id="1" name="image1.png" descr="LR-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R-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432A31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33" w14:textId="1EA41D50" w:rsidR="00AC447D" w:rsidRDefault="001376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540"/>
      </w:tabs>
      <w:spacing w:after="120" w:line="240" w:lineRule="auto"/>
      <w:jc w:val="center"/>
      <w:rPr>
        <w:i/>
        <w:color w:val="FF0000"/>
        <w:sz w:val="24"/>
        <w:szCs w:val="24"/>
      </w:rPr>
    </w:pPr>
    <w:r>
      <w:rPr>
        <w:i/>
        <w:color w:val="FF0000"/>
        <w:sz w:val="24"/>
        <w:szCs w:val="24"/>
      </w:rPr>
      <w:t>П                                                                   Проект</w:t>
    </w:r>
    <w:r w:rsidR="00FE2A2C">
      <w:rPr>
        <w:i/>
        <w:color w:val="FF0000"/>
        <w:sz w:val="24"/>
        <w:szCs w:val="24"/>
      </w:rPr>
      <w:t xml:space="preserve"> </w:t>
    </w:r>
    <w:r w:rsidR="00FE2A2C">
      <w:rPr>
        <w:i/>
        <w:color w:val="FF0000"/>
        <w:sz w:val="24"/>
        <w:szCs w:val="24"/>
        <w:lang w:val="en-US"/>
      </w:rPr>
      <w:t>USAID</w:t>
    </w:r>
    <w:r>
      <w:rPr>
        <w:i/>
        <w:color w:val="FF0000"/>
        <w:sz w:val="24"/>
        <w:szCs w:val="24"/>
      </w:rPr>
      <w:t xml:space="preserve"> </w:t>
    </w:r>
    <w:r w:rsidR="00FE2A2C" w:rsidRPr="00FE2A2C">
      <w:rPr>
        <w:i/>
        <w:color w:val="FF0000"/>
        <w:sz w:val="24"/>
        <w:szCs w:val="24"/>
      </w:rPr>
      <w:t>“</w:t>
    </w:r>
    <w:r>
      <w:rPr>
        <w:i/>
        <w:color w:val="FF0000"/>
        <w:sz w:val="24"/>
        <w:szCs w:val="24"/>
      </w:rPr>
      <w:t>Укук Булагы</w:t>
    </w:r>
    <w:r w:rsidR="00FE2A2C" w:rsidRPr="00FE2A2C">
      <w:rPr>
        <w:i/>
        <w:color w:val="FF0000"/>
        <w:sz w:val="24"/>
        <w:szCs w:val="24"/>
      </w:rPr>
      <w:t>”</w:t>
    </w:r>
    <w:r w:rsidR="00B14CF4">
      <w:rPr>
        <w:i/>
        <w:color w:val="FF0000"/>
        <w:sz w:val="24"/>
        <w:szCs w:val="24"/>
      </w:rPr>
      <w:t xml:space="preserve"> в Кыргызской Республике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5362"/>
    <w:multiLevelType w:val="multilevel"/>
    <w:tmpl w:val="4182A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333B61"/>
    <w:multiLevelType w:val="multilevel"/>
    <w:tmpl w:val="7076C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9152639">
    <w:abstractNumId w:val="0"/>
  </w:num>
  <w:num w:numId="2" w16cid:durableId="91594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7D"/>
    <w:rsid w:val="00026D5F"/>
    <w:rsid w:val="00032731"/>
    <w:rsid w:val="000332CA"/>
    <w:rsid w:val="00034E2D"/>
    <w:rsid w:val="000356EE"/>
    <w:rsid w:val="00054764"/>
    <w:rsid w:val="0009614A"/>
    <w:rsid w:val="000C7663"/>
    <w:rsid w:val="0010374E"/>
    <w:rsid w:val="00113539"/>
    <w:rsid w:val="00137685"/>
    <w:rsid w:val="0017129B"/>
    <w:rsid w:val="001719CE"/>
    <w:rsid w:val="001A1C37"/>
    <w:rsid w:val="001C270F"/>
    <w:rsid w:val="001E0A80"/>
    <w:rsid w:val="001E48E2"/>
    <w:rsid w:val="00251660"/>
    <w:rsid w:val="002719B0"/>
    <w:rsid w:val="002C742F"/>
    <w:rsid w:val="00330A69"/>
    <w:rsid w:val="00342986"/>
    <w:rsid w:val="00370B1D"/>
    <w:rsid w:val="00393CDE"/>
    <w:rsid w:val="003D6BFD"/>
    <w:rsid w:val="003F647E"/>
    <w:rsid w:val="00432EB1"/>
    <w:rsid w:val="0043631E"/>
    <w:rsid w:val="0044457C"/>
    <w:rsid w:val="00462627"/>
    <w:rsid w:val="004F3F20"/>
    <w:rsid w:val="005472C2"/>
    <w:rsid w:val="005C36C9"/>
    <w:rsid w:val="005E3A33"/>
    <w:rsid w:val="005E75B5"/>
    <w:rsid w:val="005F7002"/>
    <w:rsid w:val="0060714A"/>
    <w:rsid w:val="00683831"/>
    <w:rsid w:val="006B6B44"/>
    <w:rsid w:val="006B6E45"/>
    <w:rsid w:val="006D07B4"/>
    <w:rsid w:val="006F4FF4"/>
    <w:rsid w:val="00737B0E"/>
    <w:rsid w:val="00743061"/>
    <w:rsid w:val="00757AFA"/>
    <w:rsid w:val="007B051A"/>
    <w:rsid w:val="00822A03"/>
    <w:rsid w:val="00827EDA"/>
    <w:rsid w:val="008407B5"/>
    <w:rsid w:val="00841C83"/>
    <w:rsid w:val="00842750"/>
    <w:rsid w:val="008508D5"/>
    <w:rsid w:val="00864457"/>
    <w:rsid w:val="00871E16"/>
    <w:rsid w:val="0088013A"/>
    <w:rsid w:val="008A1DDB"/>
    <w:rsid w:val="008C795E"/>
    <w:rsid w:val="009234D3"/>
    <w:rsid w:val="009941C4"/>
    <w:rsid w:val="009C2E3F"/>
    <w:rsid w:val="00A06F95"/>
    <w:rsid w:val="00A34F36"/>
    <w:rsid w:val="00A5654C"/>
    <w:rsid w:val="00A77E70"/>
    <w:rsid w:val="00A97E01"/>
    <w:rsid w:val="00AC447D"/>
    <w:rsid w:val="00AF3798"/>
    <w:rsid w:val="00B14CF4"/>
    <w:rsid w:val="00B24A34"/>
    <w:rsid w:val="00B40A86"/>
    <w:rsid w:val="00B769D4"/>
    <w:rsid w:val="00BA351E"/>
    <w:rsid w:val="00C15303"/>
    <w:rsid w:val="00C3373F"/>
    <w:rsid w:val="00C7414B"/>
    <w:rsid w:val="00CB7E69"/>
    <w:rsid w:val="00CF45CC"/>
    <w:rsid w:val="00D45225"/>
    <w:rsid w:val="00D6115A"/>
    <w:rsid w:val="00D761DE"/>
    <w:rsid w:val="00D818DC"/>
    <w:rsid w:val="00DA22D5"/>
    <w:rsid w:val="00DA6290"/>
    <w:rsid w:val="00DC38F0"/>
    <w:rsid w:val="00DE4856"/>
    <w:rsid w:val="00E00B6A"/>
    <w:rsid w:val="00E154F5"/>
    <w:rsid w:val="00E22F19"/>
    <w:rsid w:val="00E54F21"/>
    <w:rsid w:val="00E953B9"/>
    <w:rsid w:val="00EA6978"/>
    <w:rsid w:val="00EC2EC2"/>
    <w:rsid w:val="00F05AC5"/>
    <w:rsid w:val="00F4245B"/>
    <w:rsid w:val="00F511E9"/>
    <w:rsid w:val="00F71ED2"/>
    <w:rsid w:val="00F924C5"/>
    <w:rsid w:val="00FB6DA1"/>
    <w:rsid w:val="00FE0622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329D5"/>
  <w15:docId w15:val="{AC379424-32C9-4873-B50A-D6E339C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K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line="240" w:lineRule="auto"/>
      <w:jc w:val="center"/>
      <w:outlineLvl w:val="0"/>
    </w:pPr>
    <w:rPr>
      <w:rFonts w:ascii="Times" w:eastAsia="Times" w:hAnsi="Times" w:cs="Times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widowControl w:val="0"/>
      <w:spacing w:line="240" w:lineRule="auto"/>
      <w:outlineLvl w:val="2"/>
    </w:pPr>
    <w:rPr>
      <w:rFonts w:ascii="Arial Black" w:eastAsia="Arial Black" w:hAnsi="Arial Black" w:cs="Arial Black"/>
      <w:b/>
      <w:color w:val="00008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line="240" w:lineRule="auto"/>
      <w:outlineLvl w:val="4"/>
    </w:pPr>
    <w:rPr>
      <w:rFonts w:ascii="Times" w:eastAsia="Times" w:hAnsi="Times" w:cs="Times"/>
      <w:b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line="240" w:lineRule="auto"/>
      <w:ind w:right="132"/>
      <w:outlineLvl w:val="5"/>
    </w:pPr>
    <w:rPr>
      <w:rFonts w:ascii="Lucida Sans" w:eastAsia="Lucida Sans" w:hAnsi="Lucida Sans" w:cs="Lucida San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0A8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A86"/>
  </w:style>
  <w:style w:type="paragraph" w:styleId="Footer">
    <w:name w:val="footer"/>
    <w:basedOn w:val="Normal"/>
    <w:link w:val="FooterChar"/>
    <w:uiPriority w:val="99"/>
    <w:unhideWhenUsed/>
    <w:rsid w:val="00B40A8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A86"/>
  </w:style>
  <w:style w:type="character" w:styleId="Hyperlink">
    <w:name w:val="Hyperlink"/>
    <w:basedOn w:val="DefaultParagraphFont"/>
    <w:uiPriority w:val="99"/>
    <w:semiHidden/>
    <w:unhideWhenUsed/>
    <w:rsid w:val="009941C4"/>
    <w:rPr>
      <w:color w:val="0000FF"/>
      <w:u w:val="single"/>
    </w:rPr>
  </w:style>
  <w:style w:type="table" w:styleId="TableGrid">
    <w:name w:val="Table Grid"/>
    <w:basedOn w:val="TableNormal"/>
    <w:uiPriority w:val="39"/>
    <w:rsid w:val="0003273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urement_kg@ewmi-k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Zhyldyz Satybekova</cp:lastModifiedBy>
  <cp:revision>86</cp:revision>
  <dcterms:created xsi:type="dcterms:W3CDTF">2022-01-10T03:13:00Z</dcterms:created>
  <dcterms:modified xsi:type="dcterms:W3CDTF">2024-12-27T03:55:00Z</dcterms:modified>
</cp:coreProperties>
</file>