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закупкам и проведению тендеров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приглашает правомочных претендентов представить свои тендерные заявки на поставку платежных терминалов:</w:t>
      </w:r>
    </w:p>
    <w:tbl>
      <w:tblPr>
        <w:tblW w:w="9240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5179"/>
        <w:gridCol w:w="3339"/>
      </w:tblGrid>
      <w:tr>
        <w:trPr>
          <w:trHeight w:val="195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банкоматов</w:t>
            </w:r>
          </w:p>
        </w:tc>
        <w:tc>
          <w:tcPr>
            <w:tcW w:w="3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</w:t>
            </w:r>
          </w:p>
        </w:tc>
      </w:tr>
      <w:tr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0CE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(единиц)</w:t>
            </w:r>
          </w:p>
        </w:tc>
      </w:tr>
      <w:tr>
        <w:trPr>
          <w:trHeight w:val="3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терминалы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Офисные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>
        <w:trPr>
          <w:trHeight w:val="3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Платежные терминалы Уличные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500</w:t>
            </w:r>
          </w:p>
        </w:tc>
      </w:tr>
      <w:tr>
        <w:trPr>
          <w:trHeight w:val="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Всего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1000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тендере Вам необходимо представить коммерческое предложение, которое должно содержать следующие условия: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поставки: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технической характеристике и комплектности платежных терминалов: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поставляемых платежных терминалов – 1000 (одна тысяча) единиц.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Сроки поставки не более 95 (девяносто пяти) календарных дней, с даты заключения договора. Возможно разделение поставки на несколько партий.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y-KG" w:eastAsia="ru-RU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согласно схеме револьверных платежей, эквивалентной поставке Товара партиями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Схема поставки CIP г. Бишкек, на склад Банка.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поставщику: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 менее трех поставок подобного оборудования на территорию Кыргызстана.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 гарантийному и сервисному обслуживанию подобного оборудования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Республики/других странах на протяжении не менее 3-х лет.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обслуживания на поставляемое оборудование 24 месяца с даты установки платежных терминалов.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наличие локального офиса на территории Кыргызстана либо предоставление необходимого парка запасных частей, для последующего гарантийного обслуживания поставляемого оборудования и возможного после гарантийного обслуживания.</w:t>
      </w:r>
    </w:p>
    <w:p>
      <w:pPr>
        <w:pStyle w:val="a3"/>
        <w:ind w:left="360"/>
        <w:jc w:val="both"/>
      </w:pPr>
    </w:p>
    <w:p>
      <w:pPr>
        <w:pStyle w:val="a3"/>
        <w:ind w:left="360"/>
        <w:jc w:val="both"/>
      </w:pPr>
    </w:p>
    <w:p>
      <w:pPr>
        <w:pStyle w:val="a3"/>
        <w:ind w:left="360"/>
        <w:jc w:val="both"/>
      </w:pPr>
    </w:p>
    <w:p>
      <w:pPr>
        <w:pStyle w:val="a3"/>
        <w:ind w:left="360"/>
        <w:jc w:val="both"/>
      </w:pP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tbl>
      <w:tblPr>
        <w:tblW w:w="9645" w:type="dxa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3886"/>
        <w:gridCol w:w="5037"/>
      </w:tblGrid>
      <w:tr>
        <w:trPr>
          <w:trHeight w:val="1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</w:t>
            </w:r>
          </w:p>
        </w:tc>
      </w:tr>
      <w:tr>
        <w:trPr>
          <w:trHeight w:val="22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МОНИТОР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Вандалостойкий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инфракрасный сенсорный экран</w:t>
            </w:r>
          </w:p>
        </w:tc>
      </w:tr>
      <w:tr>
        <w:trPr>
          <w:trHeight w:val="2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ПЕЧАТИ ЧЕКОВ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 W80 с датчиком окончания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 скорость печати: 250 мм / с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Регулируемая ширина бумаги: 60/80/82,5 мм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Рулонная бумага диаметром: 80 мм или 150 мм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Толщина бумаги: 60 - 200 мкм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Полный и частичный разрез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Полностью настраиваемые параметры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Светодиодная индикация (работает в режиме 24\7), с возможностью настройки алгоритмов ее работы 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Высоконадежный резак с MTBF более 1 000 000 разрезов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Bezel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расширенным управлением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Метод печати: термический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Точки: 640 точек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Скорость: 250 мм/с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Источник питания: DC24 ± 10% В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• Интерфейсы: RS232, USB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Срок службы печатной головки: свыше 100 км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Тип бумаги: термобумага</w:t>
            </w:r>
          </w:p>
        </w:tc>
      </w:tr>
      <w:tr>
        <w:trPr>
          <w:trHeight w:val="55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ПРИЕМА ДЕНЕГ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Купюроприемник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поддержкой новых образцов KGS.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 запасными мешками.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купюр: Продольная, угол наклона транспортного канала от 100 до 150 градусов 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Ширина купюр: 61-85 мм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Загрузка: Фронтальная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Напряжение питания: 12-28 В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Тип приема купюр: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Покупюрно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 работы EBDS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Производитель: CPI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Использование купюр: до 85 мм</w:t>
            </w:r>
          </w:p>
        </w:tc>
      </w:tr>
      <w:tr>
        <w:trPr>
          <w:trHeight w:val="57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ВАНДАЛОСТОЙКИЙ КОРПУС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Стальной корпус, сталь толщиной не менее 2 мм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Блок розеток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Дополнительная вентиляция*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отверстия в днище для анкерного крепления к полу.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Замок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сувальдного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3-ого класса. распорки в 4 стороны</w:t>
            </w:r>
          </w:p>
        </w:tc>
      </w:tr>
      <w:tr>
        <w:trPr>
          <w:trHeight w:val="55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Материнская плата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Модуль памяти DDR3/4 – не менее 4 ГБ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Датчик открытия двери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Контроллер COM портов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Датчик открытия двери*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Блок питания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Вентилятор для CPU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Накопитель SSD – не менее 120Гб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Кабель сетевой 1.8 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Кнопка для перезагрузки (внешняя перезагрузка)</w:t>
            </w:r>
          </w:p>
        </w:tc>
      </w:tr>
      <w:tr>
        <w:trPr>
          <w:trHeight w:val="61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ПРИЕМО-ПЕРЕДАЮЩЕЕ УСТРОЙСТВО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GPRS/GSM/3G/4G модем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Антенна GSM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26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КОРПУСА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Износоустойчивая порошковая краска, полимерное покрытие с высокими защитными и декоративными свойствами,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дизайном платежной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брендирование</w:t>
            </w:r>
            <w:proofErr w:type="spellEnd"/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должен обладать привлекательным дизайном и обеспечивать высокую устойчивость конструкции. Он должен быть выполнен с возможностью покраски в фирменные цвета и нанесения брендовой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айдентики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корпоративными стандартами.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корпуса должна предусматривать удобный доступ к внутренним компонентам (ПК, устройство персонализации карт, монитор) для технического обслуживания и ремонта. При необходимости должны быть предусмотрены выдвижные платформы на телескопических направляющих для облегчения процесса обслуживания.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часть корпуса (сервизная и сейфовые зоны) должны иметь радиусные элементы, с углом радиуса в пределах 47-50 градусов.</w:t>
            </w:r>
          </w:p>
        </w:tc>
      </w:tr>
      <w:tr>
        <w:trPr>
          <w:trHeight w:val="33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Высота –1400 – 1600 мм  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Ширина – 500-550 мм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Глубина – 500-550 мм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ВОЗДЕЙСТВИЯМ ТЕМПЕРАТУРЫ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– 20° до +50°</w:t>
            </w:r>
          </w:p>
        </w:tc>
      </w:tr>
      <w:tr>
        <w:trPr>
          <w:trHeight w:val="5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расширению функционала в перспективе: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установки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картридера</w:t>
            </w:r>
            <w:proofErr w:type="spellEnd"/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установки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-клавиатуры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пин-пада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установки сканера штрих-кода, QR кода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установки фискального оборудования (ККМ)</w:t>
            </w:r>
          </w:p>
        </w:tc>
      </w:tr>
      <w:tr>
        <w:trPr>
          <w:trHeight w:val="34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7F8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Требуется предоставить образец оборудования в п.4, 5 и 6 для тестирования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участия в тендере необходим следующий пакет документов: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коммерческое предложение;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учредительные документы, оформленные в установленном порядке – для юридических лиц;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банковский счет;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подтверждение об отсутствии задолженностей (налоговой и соц. фонд.);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подтверждение об отсутствии судебных разбирательств за последние два года;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наличие не менее 3 (трех) положительных отзывов от заказчиков.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Весь пакет документов необходимо предоставить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 17:00 часов 26 февраля 2025 года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 запечатанном виде по адресу: г.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54А., в Отдел делопроизводства и контроля. Направленные позже указанного срока заявки не будут рассмотрены комиссией.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более подробную информацию Вы можете получить, по адресу: г.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54-А, по телефону: +996 553 03 00 77 Сапарбек уулу Ильгиз, почта Ilgiz.Saparbek@mbank.kg.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проведенного тендера, победителю будет направлено уведомление.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участники, просьба учесть, что все вышеуказанные требования, вышеописанное, является обязательными требованиями Банка!!!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CA6"/>
    <w:multiLevelType w:val="multilevel"/>
    <w:tmpl w:val="8F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27A7"/>
    <w:multiLevelType w:val="multilevel"/>
    <w:tmpl w:val="D2E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33E5"/>
    <w:multiLevelType w:val="multilevel"/>
    <w:tmpl w:val="4812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17D93"/>
    <w:multiLevelType w:val="multilevel"/>
    <w:tmpl w:val="735E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D0CD7-EFE4-4A2F-B22D-C630522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Кыпчаков Азим Нурланович</dc:creator>
  <cp:keywords/>
  <dc:description/>
  <cp:lastModifiedBy>Рысбеков Акжолтой Рысбекович</cp:lastModifiedBy>
  <cp:revision>5</cp:revision>
  <dcterms:created xsi:type="dcterms:W3CDTF">2025-02-21T11:59:00Z</dcterms:created>
  <dcterms:modified xsi:type="dcterms:W3CDTF">2025-02-21T12:01:00Z</dcterms:modified>
</cp:coreProperties>
</file>