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EA0D3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78FC841C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 xml:space="preserve">для участия в </w:t>
      </w:r>
      <w:r>
        <w:rPr>
          <w:rFonts w:ascii="Arial" w:hAnsi="Arial" w:cs="Arial"/>
          <w:b/>
          <w:szCs w:val="20"/>
        </w:rPr>
        <w:t>конкурсе по</w:t>
      </w:r>
      <w:r w:rsidRPr="00554E4B">
        <w:rPr>
          <w:rFonts w:ascii="Arial" w:hAnsi="Arial" w:cs="Arial"/>
          <w:b/>
          <w:szCs w:val="20"/>
        </w:rPr>
        <w:t xml:space="preserve"> выбор</w:t>
      </w:r>
      <w:r>
        <w:rPr>
          <w:rFonts w:ascii="Arial" w:hAnsi="Arial" w:cs="Arial"/>
          <w:b/>
          <w:szCs w:val="20"/>
        </w:rPr>
        <w:t>у</w:t>
      </w:r>
      <w:r w:rsidRPr="00554E4B">
        <w:rPr>
          <w:rFonts w:ascii="Arial" w:hAnsi="Arial" w:cs="Arial"/>
          <w:b/>
          <w:szCs w:val="20"/>
        </w:rPr>
        <w:t xml:space="preserve"> и оценки поставщиков</w:t>
      </w:r>
    </w:p>
    <w:p w14:paraId="20D04C61" w14:textId="7063A8A7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A49FAB7" w:rsidR="001B3D09" w:rsidRDefault="008274C1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624BA7AA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866775"/>
                <wp:effectExtent l="0" t="0" r="19050" b="2857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866775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EE894" id="Прямоугольник: скругленные углы 1" o:spid="_x0000_s1026" style="position:absolute;margin-left:470.8pt;margin-top:6.75pt;width:522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0C552729" w14:textId="3FE8D3BB" w:rsidR="007148DB" w:rsidRDefault="001B3D09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A1177A" w:rsidRPr="00A1177A">
        <w:rPr>
          <w:rFonts w:ascii="Arial" w:hAnsi="Arial" w:cs="Arial"/>
          <w:b/>
          <w:sz w:val="20"/>
          <w:szCs w:val="20"/>
        </w:rPr>
        <w:t>Проведение строительных работ в производственном цеху</w:t>
      </w:r>
      <w:r w:rsidR="002D4D24">
        <w:rPr>
          <w:rFonts w:ascii="Arial" w:hAnsi="Arial" w:cs="Arial"/>
          <w:b/>
          <w:sz w:val="20"/>
          <w:szCs w:val="20"/>
        </w:rPr>
        <w:t xml:space="preserve"> (зона Асептик</w:t>
      </w:r>
      <w:r w:rsidR="00130BA7">
        <w:rPr>
          <w:rFonts w:ascii="Arial" w:hAnsi="Arial" w:cs="Arial"/>
          <w:b/>
          <w:sz w:val="20"/>
          <w:szCs w:val="20"/>
        </w:rPr>
        <w:t>и</w:t>
      </w:r>
      <w:r w:rsidR="002D4D24">
        <w:rPr>
          <w:rFonts w:ascii="Arial" w:hAnsi="Arial" w:cs="Arial"/>
          <w:b/>
          <w:sz w:val="20"/>
          <w:szCs w:val="20"/>
        </w:rPr>
        <w:t>)</w:t>
      </w:r>
    </w:p>
    <w:p w14:paraId="66AB855C" w14:textId="77777777" w:rsidR="00A739C3" w:rsidRDefault="00A739C3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</w:p>
    <w:p w14:paraId="488875D8" w14:textId="228E2350" w:rsidR="00A739C3" w:rsidRDefault="00743E87" w:rsidP="00743E87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>
        <w:rPr>
          <w:rFonts w:ascii="Arial" w:hAnsi="Arial" w:cs="Arial"/>
          <w:b/>
          <w:sz w:val="20"/>
          <w:szCs w:val="20"/>
        </w:rPr>
        <w:t xml:space="preserve">документов для проверки: </w:t>
      </w:r>
      <w:r w:rsidR="006A6108">
        <w:rPr>
          <w:rFonts w:ascii="Arial" w:hAnsi="Arial" w:cs="Arial"/>
          <w:b/>
          <w:sz w:val="20"/>
          <w:szCs w:val="20"/>
        </w:rPr>
        <w:t>23.05</w:t>
      </w:r>
      <w:r>
        <w:rPr>
          <w:rFonts w:ascii="Arial" w:hAnsi="Arial" w:cs="Arial"/>
          <w:b/>
          <w:sz w:val="20"/>
          <w:szCs w:val="20"/>
        </w:rPr>
        <w:t>.202</w:t>
      </w:r>
      <w:r w:rsidR="005913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г.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50FB06CD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6A6108">
        <w:rPr>
          <w:rFonts w:ascii="Arial" w:hAnsi="Arial" w:cs="Arial"/>
          <w:b/>
          <w:sz w:val="20"/>
          <w:szCs w:val="20"/>
        </w:rPr>
        <w:t>23.05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ОАО «</w:t>
      </w:r>
      <w:proofErr w:type="spellStart"/>
      <w:r>
        <w:rPr>
          <w:rFonts w:ascii="Calibri" w:eastAsia="Calibri" w:hAnsi="Calibri" w:cs="Arial"/>
          <w:color w:val="000000"/>
          <w:lang w:val="ru-RU" w:eastAsia="en-US"/>
        </w:rPr>
        <w:t>Бишкексут</w:t>
      </w:r>
      <w:proofErr w:type="spellEnd"/>
      <w:r>
        <w:rPr>
          <w:rFonts w:ascii="Calibri" w:eastAsia="Calibri" w:hAnsi="Calibri" w:cs="Arial"/>
          <w:color w:val="000000"/>
          <w:lang w:val="ru-RU" w:eastAsia="en-US"/>
        </w:rPr>
        <w:t xml:space="preserve">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</w:t>
      </w:r>
      <w:proofErr w:type="spellStart"/>
      <w:r w:rsidRPr="00497B59">
        <w:rPr>
          <w:rFonts w:ascii="Calibri" w:eastAsia="Calibri" w:hAnsi="Calibri" w:cs="Arial"/>
          <w:color w:val="000000"/>
          <w:lang w:val="ru-RU" w:eastAsia="en-US"/>
        </w:rPr>
        <w:t>г.Бишкек</w:t>
      </w:r>
      <w:proofErr w:type="spellEnd"/>
      <w:r w:rsidRPr="00497B59">
        <w:rPr>
          <w:rFonts w:ascii="Calibri" w:eastAsia="Calibri" w:hAnsi="Calibri" w:cs="Arial"/>
          <w:color w:val="000000"/>
          <w:lang w:val="ru-RU" w:eastAsia="en-US"/>
        </w:rPr>
        <w:t>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46BE8800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>Регистрационная карта налогоплательщика – форма 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Доверенность на сотрудника, подписывающего документы (если это не ген. </w:t>
      </w:r>
      <w:proofErr w:type="spellStart"/>
      <w:r w:rsidRPr="00A56BAB">
        <w:rPr>
          <w:rFonts w:ascii="Calibri" w:eastAsia="Calibri" w:hAnsi="Calibri" w:cs="Arial"/>
          <w:color w:val="000000"/>
          <w:lang w:val="ru-RU" w:eastAsia="en-US"/>
        </w:rPr>
        <w:t>дир</w:t>
      </w:r>
      <w:proofErr w:type="spellEnd"/>
      <w:r w:rsidRPr="00A56BAB">
        <w:rPr>
          <w:rFonts w:ascii="Calibri" w:eastAsia="Calibri" w:hAnsi="Calibri" w:cs="Arial"/>
          <w:color w:val="000000"/>
          <w:lang w:val="ru-RU" w:eastAsia="en-US"/>
        </w:rPr>
        <w:t>.);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77777777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>Предоставляется оригинал 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lastRenderedPageBreak/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55675967" w14:textId="39F645D4" w:rsidR="008E217C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</w:p>
    <w:p w14:paraId="643EC31B" w14:textId="4FD7874D" w:rsidR="0052010F" w:rsidRPr="00AF070A" w:rsidRDefault="0052010F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 xml:space="preserve">Аванс от стоимости оборудования и материалов &lt;=30% в течение 14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подписания договора</w:t>
      </w:r>
    </w:p>
    <w:p w14:paraId="14510830" w14:textId="4FDF1F6F" w:rsidR="0052010F" w:rsidRPr="00AF070A" w:rsidRDefault="007527A0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оборудование и материалы после ввода оборудования в эксплуатацию с выполнением всех критериев и параметров оборудования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70%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 xml:space="preserve">По истечении 90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ввода оборудования в эксплуатацию</w:t>
      </w:r>
    </w:p>
    <w:p w14:paraId="658008B9" w14:textId="6A27E506" w:rsidR="007527A0" w:rsidRPr="00AF070A" w:rsidRDefault="00AF070A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 xml:space="preserve">Оплата за работы/услуги осуществляется в размере 100% от стоимости работ/услуг по истечении 90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завершения работ/ оказания услуг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77255655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</w:t>
      </w:r>
      <w:r w:rsidR="00E142CE">
        <w:rPr>
          <w:rFonts w:ascii="Calibri" w:eastAsia="Calibri" w:hAnsi="Calibri" w:cs="Arial"/>
          <w:b/>
          <w:bCs/>
          <w:color w:val="000000"/>
          <w:lang w:val="ru-RU" w:eastAsia="en-US"/>
        </w:rPr>
        <w:t>7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>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6A6108">
        <w:rPr>
          <w:rFonts w:ascii="Calibri" w:eastAsia="Calibri" w:hAnsi="Calibri" w:cs="Arial"/>
          <w:b/>
          <w:bCs/>
          <w:color w:val="000000"/>
          <w:lang w:val="ru-RU" w:eastAsia="en-US"/>
        </w:rPr>
        <w:t>23.05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</w:t>
      </w:r>
      <w:r w:rsidRPr="00185342">
        <w:rPr>
          <w:rFonts w:ascii="Calibri" w:eastAsia="Calibri" w:hAnsi="Calibri" w:cs="Arial"/>
          <w:color w:val="000000"/>
          <w:lang w:val="ru-RU" w:eastAsia="en-US"/>
        </w:rPr>
        <w:lastRenderedPageBreak/>
        <w:t xml:space="preserve">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</w:t>
      </w:r>
      <w:proofErr w:type="spellStart"/>
      <w:r>
        <w:rPr>
          <w:rFonts w:ascii="Arial Narrow" w:hAnsi="Arial Narrow"/>
          <w:bCs/>
          <w:lang w:val="ru-RU"/>
        </w:rPr>
        <w:t>Бишкексут</w:t>
      </w:r>
      <w:proofErr w:type="spellEnd"/>
      <w:r>
        <w:rPr>
          <w:rFonts w:ascii="Arial Narrow" w:hAnsi="Arial Narrow"/>
          <w:bCs/>
          <w:lang w:val="ru-RU"/>
        </w:rPr>
        <w:t xml:space="preserve">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1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ведение договорной работы, в том числе заключение, исполнение, изменение и прекращение договоров и соглашений между сторонами;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участие одной стороны в процедурах закупок другой стороны; (</w:t>
      </w:r>
      <w:proofErr w:type="spellStart"/>
      <w:r w:rsidRPr="00600E3C">
        <w:rPr>
          <w:rFonts w:ascii="Arial Narrow" w:hAnsi="Arial Narrow"/>
          <w:bCs/>
          <w:lang w:val="ru-RU"/>
        </w:rPr>
        <w:t>iii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установление и поддержание делового общения между сторонами,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стратегическое и бюджетное планирование, управление проектами, поддержание эффективности, непрерывности и катастрофоустойчивости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 xml:space="preserve">привлекать третьих лиц – отдельно взятых аффилированных лиц группы ПепсиКо, </w:t>
      </w:r>
      <w:proofErr w:type="spellStart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proofErr w:type="spellEnd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6A6108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 xml:space="preserve">ОАО </w:t>
            </w:r>
            <w:proofErr w:type="spellStart"/>
            <w:r>
              <w:rPr>
                <w:rFonts w:ascii="Arial Narrow" w:hAnsi="Arial Narrow"/>
                <w:bCs/>
                <w:lang w:val="ru-RU"/>
              </w:rPr>
              <w:t>Бишкексут</w:t>
            </w:r>
            <w:proofErr w:type="spellEnd"/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hyperlink r:id="rId12" w:tgtFrame="_blank" w:tooltip="https://www.pepsico.com/investors/financial-information/sec-filings" w:history="1">
        <w:r w:rsidRPr="005E450F">
          <w:rPr>
            <w:rStyle w:val="a8"/>
            <w:rFonts w:ascii="Cambria" w:hAnsi="Cambria"/>
            <w:b/>
          </w:rPr>
          <w:t>https</w:t>
        </w:r>
        <w:r w:rsidRPr="005E450F">
          <w:rPr>
            <w:rStyle w:val="a8"/>
            <w:rFonts w:ascii="Cambria" w:hAnsi="Cambria"/>
            <w:b/>
            <w:lang w:val="ru-RU"/>
          </w:rPr>
          <w:t>://</w:t>
        </w:r>
        <w:r w:rsidRPr="005E450F">
          <w:rPr>
            <w:rStyle w:val="a8"/>
            <w:rFonts w:ascii="Cambria" w:hAnsi="Cambria"/>
            <w:b/>
          </w:rPr>
          <w:t>www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proofErr w:type="spellStart"/>
        <w:r w:rsidRPr="005E450F">
          <w:rPr>
            <w:rStyle w:val="a8"/>
            <w:rFonts w:ascii="Cambria" w:hAnsi="Cambria"/>
            <w:b/>
          </w:rPr>
          <w:t>pepsico</w:t>
        </w:r>
        <w:proofErr w:type="spellEnd"/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com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investors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financial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information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sec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filings</w:t>
        </w:r>
      </w:hyperlink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</w:t>
      </w:r>
      <w:proofErr w:type="spellStart"/>
      <w:r w:rsidRPr="00983B76">
        <w:rPr>
          <w:sz w:val="18"/>
          <w:szCs w:val="18"/>
          <w:lang w:val="ru-RU"/>
        </w:rPr>
        <w:t>намериваемся</w:t>
      </w:r>
      <w:proofErr w:type="spellEnd"/>
      <w:r w:rsidRPr="00983B76">
        <w:rPr>
          <w:sz w:val="18"/>
          <w:szCs w:val="18"/>
          <w:lang w:val="ru-RU"/>
        </w:rPr>
        <w:t xml:space="preserve">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( </w:t>
      </w:r>
      <w:hyperlink r:id="rId14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sedex</w:t>
        </w:r>
        <w:proofErr w:type="spellEnd"/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uk</w:t>
        </w:r>
        <w:proofErr w:type="spellEnd"/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5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AF070A">
      <w:pPr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2DA8EDD" w:rsidR="00950432" w:rsidRDefault="00C81E3A">
      <w:pPr>
        <w:rPr>
          <w:sz w:val="12"/>
          <w:szCs w:val="12"/>
          <w:lang w:val="ru-RU"/>
        </w:rPr>
      </w:pPr>
      <w:r w:rsidRPr="00AF070A">
        <w:rPr>
          <w:sz w:val="12"/>
          <w:szCs w:val="12"/>
        </w:rPr>
        <w:t xml:space="preserve">             </w:t>
      </w:r>
      <w:r w:rsidR="00AF070A" w:rsidRPr="00AF070A">
        <w:rPr>
          <w:sz w:val="12"/>
          <w:szCs w:val="12"/>
          <w:lang w:val="ru-RU"/>
        </w:rPr>
        <w:t xml:space="preserve">Подпись          </w:t>
      </w:r>
      <w:r w:rsidR="00AF070A">
        <w:rPr>
          <w:sz w:val="12"/>
          <w:szCs w:val="12"/>
          <w:lang w:val="ru-RU"/>
        </w:rPr>
        <w:t xml:space="preserve">                            </w:t>
      </w:r>
      <w:r w:rsidR="00AF070A" w:rsidRPr="00AF070A">
        <w:rPr>
          <w:sz w:val="12"/>
          <w:szCs w:val="12"/>
          <w:lang w:val="ru-RU"/>
        </w:rPr>
        <w:t>Расшифровка</w:t>
      </w:r>
    </w:p>
    <w:p w14:paraId="2AF2718B" w14:textId="77777777" w:rsidR="00AF070A" w:rsidRDefault="00AF070A">
      <w:pPr>
        <w:rPr>
          <w:sz w:val="12"/>
          <w:szCs w:val="12"/>
          <w:lang w:val="ru-RU"/>
        </w:rPr>
      </w:pPr>
    </w:p>
    <w:p w14:paraId="7AA9C725" w14:textId="77777777" w:rsidR="00AF070A" w:rsidRDefault="00AF070A">
      <w:pPr>
        <w:rPr>
          <w:sz w:val="12"/>
          <w:szCs w:val="12"/>
          <w:lang w:val="ru-RU"/>
        </w:rPr>
      </w:pPr>
    </w:p>
    <w:p w14:paraId="4FDC3F36" w14:textId="77777777" w:rsidR="00AF070A" w:rsidRPr="00AF070A" w:rsidRDefault="00AF070A">
      <w:pPr>
        <w:rPr>
          <w:sz w:val="12"/>
          <w:szCs w:val="12"/>
          <w:lang w:val="ru-RU"/>
        </w:rPr>
      </w:pPr>
    </w:p>
    <w:sectPr w:rsidR="00AF070A" w:rsidRPr="00AF070A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A35E" w14:textId="77777777" w:rsidR="00F1678E" w:rsidRDefault="00F1678E" w:rsidP="00891205">
      <w:r>
        <w:separator/>
      </w:r>
    </w:p>
  </w:endnote>
  <w:endnote w:type="continuationSeparator" w:id="0">
    <w:p w14:paraId="5235A8AD" w14:textId="77777777" w:rsidR="00F1678E" w:rsidRDefault="00F1678E" w:rsidP="00891205">
      <w:r>
        <w:continuationSeparator/>
      </w:r>
    </w:p>
  </w:endnote>
  <w:endnote w:id="1">
    <w:p w14:paraId="3C22B4A3" w14:textId="5A6369F5" w:rsidR="00891205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  <w:r>
        <w:rPr>
          <w:rFonts w:ascii="Cambria" w:hAnsi="Cambria"/>
          <w:b w:val="0"/>
          <w:bCs/>
          <w:sz w:val="12"/>
          <w:szCs w:val="12"/>
          <w:lang w:val="ru-RU"/>
        </w:rPr>
        <w:t xml:space="preserve">                                        </w:t>
      </w:r>
      <w:r w:rsidR="00AF070A" w:rsidRPr="00C04E8F">
        <w:rPr>
          <w:rFonts w:ascii="Cambria" w:hAnsi="Cambria"/>
          <w:b w:val="0"/>
          <w:bCs/>
          <w:sz w:val="12"/>
          <w:szCs w:val="12"/>
          <w:lang w:val="ru-RU"/>
        </w:rPr>
        <w:t>Должность</w:t>
      </w:r>
    </w:p>
    <w:p w14:paraId="56062539" w14:textId="77777777" w:rsidR="00C04E8F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</w:p>
    <w:p w14:paraId="50EE2A7C" w14:textId="52DDB746" w:rsidR="00C04E8F" w:rsidRPr="00C04E8F" w:rsidRDefault="00C04E8F" w:rsidP="00130BA7">
      <w:pPr>
        <w:rPr>
          <w:lang w:val="ru-RU"/>
        </w:rPr>
      </w:pPr>
      <w:r>
        <w:rPr>
          <w:lang w:val="ru-RU"/>
        </w:rPr>
        <w:t>ДАТА 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3DFD4" w14:textId="77777777" w:rsidR="00F1678E" w:rsidRDefault="00F1678E" w:rsidP="00891205">
      <w:r>
        <w:separator/>
      </w:r>
    </w:p>
  </w:footnote>
  <w:footnote w:type="continuationSeparator" w:id="0">
    <w:p w14:paraId="6FF95D70" w14:textId="77777777" w:rsidR="00F1678E" w:rsidRDefault="00F1678E" w:rsidP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54C4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123C1"/>
    <w:multiLevelType w:val="hybridMultilevel"/>
    <w:tmpl w:val="48BE0408"/>
    <w:lvl w:ilvl="0" w:tplc="43F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  <w:num w:numId="42" w16cid:durableId="15221659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71BC9"/>
    <w:rsid w:val="000B5AD9"/>
    <w:rsid w:val="000F2FDA"/>
    <w:rsid w:val="00100349"/>
    <w:rsid w:val="00101909"/>
    <w:rsid w:val="00130BA7"/>
    <w:rsid w:val="00173BE8"/>
    <w:rsid w:val="0018096A"/>
    <w:rsid w:val="00190BCC"/>
    <w:rsid w:val="001B3D09"/>
    <w:rsid w:val="001C0602"/>
    <w:rsid w:val="001C4018"/>
    <w:rsid w:val="001F79B8"/>
    <w:rsid w:val="00206975"/>
    <w:rsid w:val="00290389"/>
    <w:rsid w:val="002D0F06"/>
    <w:rsid w:val="002D46B7"/>
    <w:rsid w:val="002D4D24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64DD7"/>
    <w:rsid w:val="00485A18"/>
    <w:rsid w:val="004F0550"/>
    <w:rsid w:val="0052010F"/>
    <w:rsid w:val="00533EFB"/>
    <w:rsid w:val="00543487"/>
    <w:rsid w:val="005720BA"/>
    <w:rsid w:val="005743CE"/>
    <w:rsid w:val="005913C4"/>
    <w:rsid w:val="005D76FA"/>
    <w:rsid w:val="005E7F72"/>
    <w:rsid w:val="00627F21"/>
    <w:rsid w:val="00647E21"/>
    <w:rsid w:val="00654992"/>
    <w:rsid w:val="0066028F"/>
    <w:rsid w:val="00670986"/>
    <w:rsid w:val="00673A8C"/>
    <w:rsid w:val="00691377"/>
    <w:rsid w:val="006A6108"/>
    <w:rsid w:val="006D3727"/>
    <w:rsid w:val="006E521B"/>
    <w:rsid w:val="00705836"/>
    <w:rsid w:val="007148DB"/>
    <w:rsid w:val="00715335"/>
    <w:rsid w:val="00743E87"/>
    <w:rsid w:val="007527A0"/>
    <w:rsid w:val="007D5189"/>
    <w:rsid w:val="007F344E"/>
    <w:rsid w:val="008274C1"/>
    <w:rsid w:val="008318D8"/>
    <w:rsid w:val="00866EB0"/>
    <w:rsid w:val="00881D48"/>
    <w:rsid w:val="00891205"/>
    <w:rsid w:val="008D7D63"/>
    <w:rsid w:val="008E217C"/>
    <w:rsid w:val="008E330F"/>
    <w:rsid w:val="008E6ED5"/>
    <w:rsid w:val="00950432"/>
    <w:rsid w:val="00952710"/>
    <w:rsid w:val="0096441B"/>
    <w:rsid w:val="009D6FC6"/>
    <w:rsid w:val="00A035D1"/>
    <w:rsid w:val="00A1177A"/>
    <w:rsid w:val="00A37A1B"/>
    <w:rsid w:val="00A43352"/>
    <w:rsid w:val="00A56BAB"/>
    <w:rsid w:val="00A60BC2"/>
    <w:rsid w:val="00A739C3"/>
    <w:rsid w:val="00A86879"/>
    <w:rsid w:val="00A964AC"/>
    <w:rsid w:val="00AA0328"/>
    <w:rsid w:val="00AA0990"/>
    <w:rsid w:val="00AD6098"/>
    <w:rsid w:val="00AF070A"/>
    <w:rsid w:val="00B00B83"/>
    <w:rsid w:val="00B45F52"/>
    <w:rsid w:val="00B66DAB"/>
    <w:rsid w:val="00B772CD"/>
    <w:rsid w:val="00BC1C6A"/>
    <w:rsid w:val="00BC21CD"/>
    <w:rsid w:val="00BD3531"/>
    <w:rsid w:val="00BF6C7E"/>
    <w:rsid w:val="00C04E8F"/>
    <w:rsid w:val="00C12421"/>
    <w:rsid w:val="00C16790"/>
    <w:rsid w:val="00C55498"/>
    <w:rsid w:val="00C74EB9"/>
    <w:rsid w:val="00C81E3A"/>
    <w:rsid w:val="00CF6E3E"/>
    <w:rsid w:val="00D464FB"/>
    <w:rsid w:val="00DC3B71"/>
    <w:rsid w:val="00DD02C3"/>
    <w:rsid w:val="00DE72CA"/>
    <w:rsid w:val="00E142CE"/>
    <w:rsid w:val="00E44C2D"/>
    <w:rsid w:val="00E67ADB"/>
    <w:rsid w:val="00EA4C49"/>
    <w:rsid w:val="00EA7BE9"/>
    <w:rsid w:val="00ED2BB5"/>
    <w:rsid w:val="00EF74A4"/>
    <w:rsid w:val="00F07A6F"/>
    <w:rsid w:val="00F1678E"/>
    <w:rsid w:val="00F21777"/>
    <w:rsid w:val="00F4762D"/>
    <w:rsid w:val="00F62C3B"/>
    <w:rsid w:val="00F67767"/>
    <w:rsid w:val="00F85C9C"/>
    <w:rsid w:val="00F87A95"/>
    <w:rsid w:val="00F9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psico.com/investors/financial-information/sec-fil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ponsiblesourcing@pepsi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dex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F47D760D36340B1C3C42D9E1A12D2" ma:contentTypeVersion="14" ma:contentTypeDescription="Create a new document." ma:contentTypeScope="" ma:versionID="83b0e4d33b01def03c6b295ae9189042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a70de8480aaf97b83bd40a3ef652d772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7B365-C939-45A1-8E57-BBB74540C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9a3a6-c7bf-43ca-abbf-e1d693243ea1"/>
    <ds:schemaRef ds:uri="762ac360-7163-4137-8043-b2195cb0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3541</Words>
  <Characters>20184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53</cp:revision>
  <dcterms:created xsi:type="dcterms:W3CDTF">2024-05-07T08:12:00Z</dcterms:created>
  <dcterms:modified xsi:type="dcterms:W3CDTF">2025-05-12T05:33:00Z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