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Лот: (необходимо указать номер и название Лота)</w:t>
      </w:r>
    </w:p>
    <w:bookmarkStart w:colFirst="0" w:colLast="0" w:name="bookmark=id.92nu81wzl18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E7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E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090.0393700787413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Rkf2w40C8dvmrFciXkQc1Q+3g==">CgMxLjAyDmlkLjkybnU4MXd6bDE4OAByITFYRzZ4MHZpZFc5dVFpa2FMMk9aWjRfQVJKdVJsNFlQcA==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