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915" w:rsidRPr="002D2915" w:rsidRDefault="002D2915" w:rsidP="002D2915">
      <w:pPr>
        <w:pStyle w:val="NormalWeb"/>
        <w:rPr>
          <w:rFonts w:ascii="Arial" w:hAnsi="Arial" w:cs="Arial"/>
          <w:sz w:val="22"/>
          <w:szCs w:val="22"/>
        </w:rPr>
      </w:pPr>
      <w:r w:rsidRPr="002D2915">
        <w:rPr>
          <w:rStyle w:val="Strong"/>
          <w:rFonts w:ascii="Arial" w:hAnsi="Arial" w:cs="Arial"/>
          <w:sz w:val="22"/>
          <w:szCs w:val="22"/>
          <w:lang w:val="en-US"/>
        </w:rPr>
        <w:t>Budget Proposal</w:t>
      </w:r>
      <w:r w:rsidRPr="002D2915">
        <w:rPr>
          <w:rStyle w:val="Strong"/>
          <w:rFonts w:ascii="Arial" w:hAnsi="Arial" w:cs="Arial"/>
          <w:sz w:val="22"/>
          <w:szCs w:val="22"/>
        </w:rPr>
        <w:t xml:space="preserve"> for Provision of Expert Services: Lead Tracking and Training for Accelerate Prosperity (AP) Acceleration Programs</w:t>
      </w:r>
    </w:p>
    <w:p w:rsidR="002D2915" w:rsidRPr="002D2915" w:rsidRDefault="002D2915" w:rsidP="002D2915">
      <w:pPr>
        <w:pStyle w:val="NormalWeb"/>
        <w:rPr>
          <w:rFonts w:ascii="Arial" w:hAnsi="Arial" w:cs="Arial"/>
          <w:sz w:val="22"/>
          <w:szCs w:val="22"/>
        </w:rPr>
      </w:pPr>
      <w:r w:rsidRPr="002D2915">
        <w:rPr>
          <w:rStyle w:val="Strong"/>
          <w:rFonts w:ascii="Arial" w:hAnsi="Arial" w:cs="Arial"/>
          <w:sz w:val="22"/>
          <w:szCs w:val="22"/>
        </w:rPr>
        <w:t xml:space="preserve">Reporting: </w:t>
      </w:r>
      <w:r w:rsidR="0043687D">
        <w:rPr>
          <w:rFonts w:ascii="Arial" w:hAnsi="Arial" w:cs="Arial"/>
          <w:sz w:val="22"/>
          <w:szCs w:val="22"/>
          <w:lang w:val="en-US"/>
        </w:rPr>
        <w:t xml:space="preserve">Country Director of </w:t>
      </w:r>
      <w:r w:rsidRPr="002D2915">
        <w:rPr>
          <w:rFonts w:ascii="Arial" w:hAnsi="Arial" w:cs="Arial"/>
          <w:sz w:val="22"/>
          <w:szCs w:val="22"/>
        </w:rPr>
        <w:t xml:space="preserve"> Accelerate Prosperity Kyrgyzstan</w:t>
      </w:r>
    </w:p>
    <w:p w:rsidR="002D2915" w:rsidRPr="002D2915" w:rsidRDefault="002D2915" w:rsidP="002D2915">
      <w:pPr>
        <w:pStyle w:val="NormalWeb"/>
        <w:rPr>
          <w:rFonts w:ascii="Arial" w:hAnsi="Arial" w:cs="Arial"/>
          <w:sz w:val="22"/>
          <w:szCs w:val="22"/>
        </w:rPr>
      </w:pPr>
      <w:r w:rsidRPr="002D2915">
        <w:rPr>
          <w:rStyle w:val="Strong"/>
          <w:rFonts w:ascii="Arial" w:hAnsi="Arial" w:cs="Arial"/>
          <w:sz w:val="22"/>
          <w:szCs w:val="22"/>
        </w:rPr>
        <w:t xml:space="preserve">Location: </w:t>
      </w:r>
      <w:r w:rsidRPr="002D2915">
        <w:rPr>
          <w:rFonts w:ascii="Arial" w:hAnsi="Arial" w:cs="Arial"/>
          <w:sz w:val="22"/>
          <w:szCs w:val="22"/>
        </w:rPr>
        <w:t>hybrid-mode of work</w:t>
      </w:r>
    </w:p>
    <w:p w:rsidR="002D2915" w:rsidRPr="002D2915" w:rsidRDefault="002D2915" w:rsidP="002D2915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2D2915">
        <w:rPr>
          <w:rStyle w:val="Strong"/>
          <w:rFonts w:ascii="Arial" w:hAnsi="Arial" w:cs="Arial"/>
          <w:sz w:val="22"/>
          <w:szCs w:val="22"/>
        </w:rPr>
        <w:t>Work period</w:t>
      </w:r>
      <w:r w:rsidRPr="002D2915">
        <w:rPr>
          <w:rFonts w:ascii="Arial" w:hAnsi="Arial" w:cs="Arial"/>
          <w:sz w:val="22"/>
          <w:szCs w:val="22"/>
        </w:rPr>
        <w:t>: July 2025 – September 2025</w:t>
      </w:r>
      <w:r w:rsidRPr="002D2915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D2915" w:rsidRDefault="002D2915" w:rsidP="002D2915">
      <w:pPr>
        <w:pStyle w:val="NormalWeb"/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</w:rPr>
        <w:t>To streamline this process and ensure all requests are evaluated consistently, we ask that you complete the attached Budget Proposal Template for all your anticipated procurement needs</w:t>
      </w:r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. </w:t>
      </w:r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</w:rPr>
        <w:t xml:space="preserve">If you have any questions about the template or the submission process, please do not hesitate to contact </w:t>
      </w:r>
      <w:proofErr w:type="spellStart"/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>Salkynai</w:t>
      </w:r>
      <w:proofErr w:type="spellEnd"/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>Emilbekova</w:t>
      </w:r>
      <w:proofErr w:type="spellEnd"/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 </w:t>
      </w:r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</w:rPr>
        <w:t xml:space="preserve">at </w:t>
      </w:r>
      <w:hyperlink r:id="rId5" w:history="1">
        <w:r w:rsidRPr="002D2915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US"/>
          </w:rPr>
          <w:t>salkynai.emilbekova@akdn.org</w:t>
        </w:r>
      </w:hyperlink>
      <w:r w:rsidRPr="002D2915"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 </w:t>
      </w:r>
    </w:p>
    <w:p w:rsidR="002D2915" w:rsidRDefault="002D2915" w:rsidP="002D2915">
      <w:pPr>
        <w:pStyle w:val="NormalWeb"/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>The details of the programs:</w:t>
      </w:r>
    </w:p>
    <w:p w:rsidR="002D2915" w:rsidRDefault="002D2915" w:rsidP="002D2915">
      <w:pPr>
        <w:pStyle w:val="NormalWeb"/>
        <w:numPr>
          <w:ilvl w:val="0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>UniCorner</w:t>
      </w:r>
      <w:proofErr w:type="spellEnd"/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 IRA </w:t>
      </w:r>
    </w:p>
    <w:p w:rsidR="002D2915" w:rsidRDefault="002D2915" w:rsidP="002D2915">
      <w:pPr>
        <w:pStyle w:val="NormalWeb"/>
        <w:numPr>
          <w:ilvl w:val="1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>Number of companies: 25</w:t>
      </w:r>
    </w:p>
    <w:p w:rsidR="002D2915" w:rsidRDefault="002D2915" w:rsidP="002D2915">
      <w:pPr>
        <w:pStyle w:val="NormalWeb"/>
        <w:numPr>
          <w:ilvl w:val="1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Number of group tractions: 9 </w:t>
      </w:r>
    </w:p>
    <w:p w:rsidR="002D2915" w:rsidRDefault="002D2915" w:rsidP="002D2915">
      <w:pPr>
        <w:pStyle w:val="NormalWeb"/>
        <w:numPr>
          <w:ilvl w:val="1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Number of traction hours: 225 </w:t>
      </w:r>
    </w:p>
    <w:p w:rsidR="002D2915" w:rsidRDefault="002D2915" w:rsidP="002D2915">
      <w:pPr>
        <w:pStyle w:val="NormalWeb"/>
        <w:numPr>
          <w:ilvl w:val="0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Slingshot IRA </w:t>
      </w:r>
    </w:p>
    <w:p w:rsidR="002D2915" w:rsidRDefault="002D2915" w:rsidP="002D2915">
      <w:pPr>
        <w:pStyle w:val="NormalWeb"/>
        <w:numPr>
          <w:ilvl w:val="1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>Number of companies: 16</w:t>
      </w:r>
    </w:p>
    <w:p w:rsidR="002D2915" w:rsidRDefault="002D2915" w:rsidP="002D2915">
      <w:pPr>
        <w:pStyle w:val="NormalWeb"/>
        <w:numPr>
          <w:ilvl w:val="1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Number of group tractions: 4 </w:t>
      </w:r>
    </w:p>
    <w:p w:rsidR="002D2915" w:rsidRPr="002D2915" w:rsidRDefault="002D2915" w:rsidP="002D2915">
      <w:pPr>
        <w:pStyle w:val="NormalWeb"/>
        <w:numPr>
          <w:ilvl w:val="1"/>
          <w:numId w:val="1"/>
        </w:numP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1A1C1E"/>
          <w:sz w:val="22"/>
          <w:szCs w:val="22"/>
          <w:shd w:val="clear" w:color="auto" w:fill="FFFFFF"/>
          <w:lang w:val="en-US"/>
        </w:rPr>
        <w:t xml:space="preserve">Number of traction hours: 96 </w:t>
      </w:r>
    </w:p>
    <w:p w:rsidR="002D2915" w:rsidRPr="002D2915" w:rsidRDefault="002D2915" w:rsidP="002D29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D2915">
        <w:rPr>
          <w:rFonts w:ascii="Arial" w:hAnsi="Arial" w:cs="Arial"/>
          <w:sz w:val="22"/>
          <w:szCs w:val="22"/>
          <w:lang w:val="en-US"/>
        </w:rPr>
        <w:t xml:space="preserve">Budget proposal template for Lead tracker services for </w:t>
      </w:r>
      <w:proofErr w:type="spellStart"/>
      <w:r w:rsidRPr="002D2915">
        <w:rPr>
          <w:rFonts w:ascii="Arial" w:hAnsi="Arial" w:cs="Arial"/>
          <w:color w:val="212121"/>
          <w:sz w:val="22"/>
          <w:szCs w:val="22"/>
          <w:lang w:val="en-US"/>
        </w:rPr>
        <w:t>UniCorner</w:t>
      </w:r>
      <w:proofErr w:type="spellEnd"/>
      <w:r w:rsidRPr="002D2915">
        <w:rPr>
          <w:rFonts w:ascii="Arial" w:hAnsi="Arial" w:cs="Arial"/>
          <w:color w:val="212121"/>
          <w:sz w:val="22"/>
          <w:szCs w:val="22"/>
          <w:lang w:val="en-US"/>
        </w:rPr>
        <w:t xml:space="preserve"> IRA and Slingshot IRA</w:t>
      </w:r>
      <w:r w:rsidR="00995C87">
        <w:rPr>
          <w:rFonts w:ascii="Arial" w:hAnsi="Arial" w:cs="Arial"/>
          <w:color w:val="212121"/>
          <w:sz w:val="22"/>
          <w:szCs w:val="22"/>
          <w:lang w:val="en-US"/>
        </w:rPr>
        <w:t xml:space="preserve"> (</w:t>
      </w:r>
      <w:r w:rsidR="00995C87" w:rsidRPr="00995C87">
        <w:rPr>
          <w:rFonts w:ascii="Arial" w:hAnsi="Arial" w:cs="Arial"/>
          <w:i/>
          <w:iCs/>
          <w:color w:val="212121"/>
          <w:sz w:val="22"/>
          <w:szCs w:val="22"/>
          <w:lang w:val="en-US"/>
        </w:rPr>
        <w:t xml:space="preserve">fill out the table highlighted in yellow. </w:t>
      </w:r>
    </w:p>
    <w:p w:rsidR="00677856" w:rsidRPr="002D2915" w:rsidRDefault="0067785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2126"/>
      </w:tblGrid>
      <w:tr w:rsidR="002D2915" w:rsidRPr="002D2915" w:rsidTr="002D2915">
        <w:trPr>
          <w:trHeight w:val="691"/>
        </w:trPr>
        <w:tc>
          <w:tcPr>
            <w:tcW w:w="2093" w:type="dxa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  <w:r w:rsidRPr="002D2915">
              <w:rPr>
                <w:b/>
                <w:bCs/>
                <w:color w:val="212121"/>
                <w:sz w:val="22"/>
                <w:szCs w:val="22"/>
              </w:rPr>
              <w:t>Services</w:t>
            </w:r>
          </w:p>
        </w:tc>
        <w:tc>
          <w:tcPr>
            <w:tcW w:w="2126" w:type="dxa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  <w:r w:rsidRPr="002D2915">
              <w:rPr>
                <w:b/>
                <w:bCs/>
                <w:color w:val="212121"/>
                <w:sz w:val="22"/>
                <w:szCs w:val="22"/>
              </w:rPr>
              <w:t>Total tracking hours</w:t>
            </w:r>
          </w:p>
        </w:tc>
        <w:tc>
          <w:tcPr>
            <w:tcW w:w="2552" w:type="dxa"/>
          </w:tcPr>
          <w:p w:rsidR="002D2915" w:rsidRPr="002D2915" w:rsidRDefault="002D2915" w:rsidP="00677856">
            <w:pPr>
              <w:pStyle w:val="Default"/>
              <w:rPr>
                <w:b/>
                <w:bCs/>
                <w:color w:val="212121"/>
                <w:sz w:val="22"/>
                <w:szCs w:val="22"/>
              </w:rPr>
            </w:pPr>
            <w:r w:rsidRPr="002D2915">
              <w:rPr>
                <w:b/>
                <w:bCs/>
                <w:color w:val="212121"/>
                <w:sz w:val="22"/>
                <w:szCs w:val="22"/>
              </w:rPr>
              <w:t>Cost per hour, USD</w:t>
            </w:r>
          </w:p>
        </w:tc>
        <w:tc>
          <w:tcPr>
            <w:tcW w:w="2126" w:type="dxa"/>
          </w:tcPr>
          <w:p w:rsidR="002D2915" w:rsidRPr="002D2915" w:rsidRDefault="002D2915" w:rsidP="00677856">
            <w:pPr>
              <w:pStyle w:val="Default"/>
              <w:rPr>
                <w:b/>
                <w:bCs/>
                <w:color w:val="212121"/>
                <w:sz w:val="22"/>
                <w:szCs w:val="22"/>
              </w:rPr>
            </w:pPr>
            <w:r w:rsidRPr="002D2915">
              <w:rPr>
                <w:b/>
                <w:bCs/>
                <w:color w:val="212121"/>
                <w:sz w:val="22"/>
                <w:szCs w:val="22"/>
              </w:rPr>
              <w:t>Total cost, USD</w:t>
            </w:r>
          </w:p>
        </w:tc>
      </w:tr>
      <w:tr w:rsidR="002D2915" w:rsidRPr="002D2915" w:rsidTr="002D2915">
        <w:trPr>
          <w:trHeight w:val="671"/>
        </w:trPr>
        <w:tc>
          <w:tcPr>
            <w:tcW w:w="2093" w:type="dxa"/>
          </w:tcPr>
          <w:p w:rsidR="002D2915" w:rsidRPr="002D2915" w:rsidRDefault="002D2915" w:rsidP="0067785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2915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>Lead tracker</w:t>
            </w:r>
            <w:r w:rsidRPr="002D2915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en-US"/>
              </w:rPr>
              <w:t xml:space="preserve"> for </w:t>
            </w:r>
            <w:proofErr w:type="spellStart"/>
            <w:r w:rsidRPr="002D2915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en-US"/>
              </w:rPr>
              <w:t>UniCorner</w:t>
            </w:r>
            <w:proofErr w:type="spellEnd"/>
            <w:r w:rsidRPr="002D2915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en-US"/>
              </w:rPr>
              <w:t xml:space="preserve"> IRA</w:t>
            </w:r>
          </w:p>
        </w:tc>
        <w:tc>
          <w:tcPr>
            <w:tcW w:w="2126" w:type="dxa"/>
            <w:shd w:val="clear" w:color="auto" w:fill="auto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  <w:r w:rsidRPr="002D2915">
              <w:rPr>
                <w:color w:val="212121"/>
                <w:sz w:val="22"/>
                <w:szCs w:val="22"/>
              </w:rPr>
              <w:t>225</w:t>
            </w:r>
          </w:p>
        </w:tc>
        <w:tc>
          <w:tcPr>
            <w:tcW w:w="2552" w:type="dxa"/>
            <w:shd w:val="clear" w:color="auto" w:fill="FFFF00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</w:p>
        </w:tc>
      </w:tr>
      <w:tr w:rsidR="002D2915" w:rsidRPr="002D2915" w:rsidTr="002D2915">
        <w:trPr>
          <w:trHeight w:val="680"/>
        </w:trPr>
        <w:tc>
          <w:tcPr>
            <w:tcW w:w="2093" w:type="dxa"/>
          </w:tcPr>
          <w:p w:rsidR="002D2915" w:rsidRPr="002D2915" w:rsidRDefault="002D2915" w:rsidP="00677856">
            <w:pPr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</w:pPr>
            <w:r w:rsidRPr="002D2915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>Lead tracker</w:t>
            </w:r>
            <w:r w:rsidRPr="002D2915">
              <w:rPr>
                <w:rFonts w:ascii="Arial" w:hAnsi="Arial" w:cs="Arial"/>
                <w:b/>
                <w:bCs/>
                <w:color w:val="212121"/>
                <w:sz w:val="22"/>
                <w:szCs w:val="22"/>
                <w:lang w:val="en-US"/>
              </w:rPr>
              <w:t xml:space="preserve"> for Slingshot IRA</w:t>
            </w:r>
          </w:p>
        </w:tc>
        <w:tc>
          <w:tcPr>
            <w:tcW w:w="2126" w:type="dxa"/>
            <w:shd w:val="clear" w:color="auto" w:fill="auto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  <w:r w:rsidRPr="002D2915">
              <w:rPr>
                <w:color w:val="212121"/>
                <w:sz w:val="22"/>
                <w:szCs w:val="22"/>
              </w:rPr>
              <w:t>96</w:t>
            </w:r>
          </w:p>
        </w:tc>
        <w:tc>
          <w:tcPr>
            <w:tcW w:w="2552" w:type="dxa"/>
            <w:shd w:val="clear" w:color="auto" w:fill="FFFF00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:rsidR="002D2915" w:rsidRPr="002D2915" w:rsidRDefault="002D2915" w:rsidP="00677856">
            <w:pPr>
              <w:pStyle w:val="Default"/>
              <w:rPr>
                <w:color w:val="212121"/>
                <w:sz w:val="22"/>
                <w:szCs w:val="22"/>
              </w:rPr>
            </w:pPr>
          </w:p>
        </w:tc>
      </w:tr>
    </w:tbl>
    <w:p w:rsidR="007D1DED" w:rsidRPr="002D2915" w:rsidRDefault="007D1DED">
      <w:pPr>
        <w:rPr>
          <w:rFonts w:ascii="Arial" w:hAnsi="Arial" w:cs="Arial"/>
          <w:sz w:val="22"/>
          <w:szCs w:val="22"/>
        </w:rPr>
      </w:pPr>
    </w:p>
    <w:sectPr w:rsidR="007D1DED" w:rsidRPr="002D2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86928"/>
    <w:multiLevelType w:val="hybridMultilevel"/>
    <w:tmpl w:val="7588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63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56"/>
    <w:rsid w:val="002D2915"/>
    <w:rsid w:val="0043687D"/>
    <w:rsid w:val="00677856"/>
    <w:rsid w:val="007D1DED"/>
    <w:rsid w:val="00995C87"/>
    <w:rsid w:val="00C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442ABF"/>
  <w15:docId w15:val="{69535511-166F-3A4F-BC9C-3614C6C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856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US"/>
    </w:rPr>
  </w:style>
  <w:style w:type="table" w:styleId="TableGrid">
    <w:name w:val="Table Grid"/>
    <w:basedOn w:val="TableNormal"/>
    <w:uiPriority w:val="39"/>
    <w:rsid w:val="0067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29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2D2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2D2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kynai.emilbekova@akd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Salkynai Emilbekova</dc:creator>
  <cp:keywords/>
  <dc:description/>
  <cp:lastModifiedBy>Salkynai Emilbekova</cp:lastModifiedBy>
  <cp:revision>4</cp:revision>
  <cp:lastPrinted>2025-06-16T09:31:00Z</cp:lastPrinted>
  <dcterms:created xsi:type="dcterms:W3CDTF">2025-06-16T06:43:00Z</dcterms:created>
  <dcterms:modified xsi:type="dcterms:W3CDTF">2025-06-24T10:28:00Z</dcterms:modified>
</cp:coreProperties>
</file>