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42F" w14:textId="77777777" w:rsidR="006D5E1A" w:rsidRPr="006D5E1A" w:rsidRDefault="006D5E1A" w:rsidP="006D5E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04595824" w14:textId="77777777" w:rsidR="006D5E1A" w:rsidRPr="006D5E1A" w:rsidRDefault="006D5E1A" w:rsidP="006D5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(ПОВЫШЕНИЕ ПРОИЗВОДСТВА ЗЕЛЁНОЙ ЭНЕРГИИ И СНИЖЕНИЕ ЗАГРЯЗНЕНИЯ ВОЗДУХА) ПУТЁМ СОДЕЙСТВИЯ ЧАСТНОМУ СЕКТОРУ КЫРГЫЗСКОЙ РЕСПУБЛИКИ ВО ВНЕДРЕНИИ МАЛОМАСШТАБНЫХ СИСТЕМ ВОЗОБНОВЛЯЕМОЙ ЭНЕРГИИ, ИХ ПОДКЛЮЧЕНИИ К ГОСУДАРСТВЕННОЙ ЭНЕРГОСЕТИ И ОРГАНИЗАЦИИ ДВУСТОРОННЕЙ ТОРГОВЛИ</w:t>
      </w:r>
    </w:p>
    <w:p w14:paraId="7296FEDF" w14:textId="6412A127" w:rsidR="006D5E1A" w:rsidRPr="006D5E1A" w:rsidRDefault="006D5E1A" w:rsidP="006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9EC6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14:paraId="5023E087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 Республика (КР), несмотря на значительный гидроэнергетический потенциал, сталкивается с дефицитом электроэнергии и значительным уровнем загрязнения воздуха в городах, в основном вызванным сжиганием ископаемого топлива для выработки электроэнергии и нужд транспорта. Кроме того, в последние годы страна стала нетто-импортером электроэнергии из-за недостатка инвестиций в сектор. Инвестиции в генерацию электроэнергии сдерживаются низкими тарифами, которые не покрывают даже текущие расходы на ремонт и техническое обслуживание, не говоря уже о строительстве новых генерирующих мощностей.</w:t>
      </w:r>
    </w:p>
    <w:p w14:paraId="0B6989A4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КР признало серьёзность проблемы загрязнения воздуха в столице. Постановление </w:t>
      </w:r>
      <w:proofErr w:type="spellStart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 № 737-VII от 15 декабря 2022 года подчёркивает необходимость ускоренных мер по снижению загрязнения воздуха в Бишкеке. Среди предложенных мер — газификация частного сектора, переход на электрическое отопление и продвижение решений на основе солнечной энергии.</w:t>
      </w:r>
    </w:p>
    <w:p w14:paraId="6AD20FF3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технической помощи (ТА) касается последнего направления, а именно — распределённой генерации на основе возобновляемых источников энергии (ВИЭ), при которой коммерческие предприятия и частные домохозяйства устанавливают солнечные панели, преимущественно на крышах зданий, для производства чистой электроэнергии, которую они могут продавать Национальной электрической сетевой компании (НЭСК) через подачу электроэнергии обратно в государственную сеть. Такая двусторонняя подача энергии называется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двусторонней торговлей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AC009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несмотря на существующий значительный рыночный спрос, в КР до настоящего времени наблюдается незначительный прогресс в широкомасштабном внедрении распределённой генерации частным сектором и реализации двусторонней торговли. Хотя в коммерческом секторе достигнуты определённые результаты, по данным НЭСК ни одна солнечная установка частного домохозяйства ещё не была индивидуально подключена к сети. Причиной являются многочисленные барьеры, препятствующие их массовому распространению: регуляторные узкие места, процедурная неэффективность (осмотры, согласования, ввод в эксплуатацию), а также технические проблемы, включая регулирование частоты сети, автоматическую защиту и отсутствие стандартизированных солнечных фотоэлектрических систем разной мощности, которые можно было бы оперативно внедрить.</w:t>
      </w:r>
    </w:p>
    <w:p w14:paraId="7265DC54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проблемы масштабирования солнечной энергетики в частном секторе КР:</w:t>
      </w:r>
    </w:p>
    <w:p w14:paraId="48C27229" w14:textId="77777777" w:rsidR="006D5E1A" w:rsidRPr="006D5E1A" w:rsidRDefault="006D5E1A" w:rsidP="006D5E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Отсутствие стандартизированных процедур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вызывающее затруднения у конечных пользователей (домохозяйств): действующие нормы и договорные механизмы не адаптированы под нужды частного сектора.</w:t>
      </w:r>
    </w:p>
    <w:p w14:paraId="66A25B3F" w14:textId="77777777" w:rsidR="006D5E1A" w:rsidRPr="006D5E1A" w:rsidRDefault="006D5E1A" w:rsidP="006D5E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Институциональные пробелы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НЭСК отсутствуют чёткие инструкции и техническая поддержка по установке солнечных систем.</w:t>
      </w:r>
    </w:p>
    <w:p w14:paraId="7D935D3E" w14:textId="77777777" w:rsidR="006D5E1A" w:rsidRPr="006D5E1A" w:rsidRDefault="006D5E1A" w:rsidP="006D5E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Высокие затраты и избыточная бюрократия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современные решения в сфере солнечной энергетики дорогостоящи, а весь процесс сопровождается значительными объёмами документов и согласований с множеством разрозненных государственных органов, что приводит к задержкам и снижает эффективность.</w:t>
      </w:r>
    </w:p>
    <w:p w14:paraId="196D202B" w14:textId="77777777" w:rsidR="006D5E1A" w:rsidRPr="006D5E1A" w:rsidRDefault="006D5E1A" w:rsidP="006D5E1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сложности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необходимость регулирования частоты в сети, автоматической защиты и отсутствие типовых проектных решений для стандартных мощностей солнечных станций — 5 кВт, 10 кВт и 15 кВт.</w:t>
      </w:r>
    </w:p>
    <w:p w14:paraId="59293701" w14:textId="47C87E51" w:rsidR="006D5E1A" w:rsidRPr="006D5E1A" w:rsidRDefault="006D5E1A" w:rsidP="006D5E1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настоящ</w:t>
      </w:r>
      <w:r w:rsidR="00917DC7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проект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выявление указанных технических и регуляторных барьеров и разработку рекомендаций по совершенствованию нормативно-правовой базы (вторичного законодательства), включая пересмотр инструкций, процедур выдачи разрешений и требований к соответствию. Также будут предложены меры по оптимизации процедур согласования, приведению их в соответствие с международной практикой и снижению административной нагрузки для домохозяйств и бизнеса.</w:t>
      </w:r>
    </w:p>
    <w:p w14:paraId="6738130D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ПРОЕКТА</w:t>
      </w:r>
    </w:p>
    <w:p w14:paraId="6D3FCBC3" w14:textId="63DB26B5" w:rsidR="006D5E1A" w:rsidRPr="006D5E1A" w:rsidRDefault="006D5E1A" w:rsidP="006D5E1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проекта </w:t>
      </w:r>
      <w:r w:rsidR="00917DC7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производства маломасштабной энергии на основе ВИЭ в Кыргызской Республике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8E336" w14:textId="77777777" w:rsidR="006D5E1A" w:rsidRPr="006D5E1A" w:rsidRDefault="006D5E1A" w:rsidP="006D5E1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предусмотрено:</w:t>
      </w:r>
    </w:p>
    <w:p w14:paraId="0FB173B3" w14:textId="77777777" w:rsidR="006D5E1A" w:rsidRPr="006D5E1A" w:rsidRDefault="006D5E1A" w:rsidP="006D5E1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правовой и административной базы, процедур и протоколов, способствующих ускоренному внедрению частным сектором (особенно домохозяйствами)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двусторонней торговли распределённой энергией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КР.</w:t>
      </w:r>
    </w:p>
    <w:p w14:paraId="77CAFD55" w14:textId="77777777" w:rsidR="006D5E1A" w:rsidRPr="006D5E1A" w:rsidRDefault="006D5E1A" w:rsidP="00917DC7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ОБЪЁМ РАБОТ</w:t>
      </w:r>
    </w:p>
    <w:p w14:paraId="4165AC4D" w14:textId="00DDB632" w:rsidR="006D5E1A" w:rsidRPr="006D5E1A" w:rsidRDefault="000D7CDA" w:rsidP="006D5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Консультационная компания </w:t>
      </w:r>
      <w:r w:rsidR="006D5E1A"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 работ</w:t>
      </w: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состоящей из </w:t>
      </w:r>
      <w:r w:rsidR="006D5E1A"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6D5E1A"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</w:t>
      </w: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5E1A"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D5E1A"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8FDAB7" w14:textId="77777777" w:rsidR="006D5E1A" w:rsidRPr="006D5E1A" w:rsidRDefault="006D5E1A" w:rsidP="006D5E1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АНАЛИЗ ПОЛИТИКИ</w:t>
      </w:r>
    </w:p>
    <w:p w14:paraId="4DC68907" w14:textId="77777777" w:rsidR="006D5E1A" w:rsidRPr="006D5E1A" w:rsidRDefault="006D5E1A" w:rsidP="006D5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1a: Обзор рынка солнечной энергетики и сбор данных</w:t>
      </w:r>
    </w:p>
    <w:p w14:paraId="5483B6C5" w14:textId="77777777" w:rsidR="006D5E1A" w:rsidRPr="006D5E1A" w:rsidRDefault="006D5E1A" w:rsidP="006D5E1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 поставщиков солнечных технологий для оценки установленных мощностей и объёмов генерации.</w:t>
      </w:r>
    </w:p>
    <w:p w14:paraId="5C078C9D" w14:textId="77777777" w:rsidR="006D5E1A" w:rsidRPr="006D5E1A" w:rsidRDefault="006D5E1A" w:rsidP="006D5E1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технический и литературный обзор на основе опыта стран региона ЕБРР и других, в том числе на предмет интеграции распределённой генерации в сеть КР.</w:t>
      </w:r>
    </w:p>
    <w:p w14:paraId="28AA5634" w14:textId="77777777" w:rsidR="006D5E1A" w:rsidRPr="006D5E1A" w:rsidRDefault="006D5E1A" w:rsidP="006D5E1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 фактической генерации: через приложения мониторинга или расчёты, с акцентом на домохозяйства и предприятия, производящие энергию для собственных нужд (не отражено в официальной статистике).</w:t>
      </w:r>
    </w:p>
    <w:p w14:paraId="29B9C356" w14:textId="77777777" w:rsidR="006D5E1A" w:rsidRPr="006D5E1A" w:rsidRDefault="006D5E1A" w:rsidP="006D5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1b: Анализ вторичного законодательства и институциональных процедур</w:t>
      </w:r>
    </w:p>
    <w:p w14:paraId="568787CB" w14:textId="7CDB11C6" w:rsidR="006D5E1A" w:rsidRPr="006D5E1A" w:rsidRDefault="006D5E1A" w:rsidP="006D5E1A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ответственного государственного партнёра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орган/стейкхолдера, который примет и продвинет изменения.</w:t>
      </w:r>
    </w:p>
    <w:p w14:paraId="28715083" w14:textId="77777777" w:rsidR="006D5E1A" w:rsidRPr="006D5E1A" w:rsidRDefault="006D5E1A" w:rsidP="006D5E1A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Проанализировать действующие регламенты и процедуры, включая органы, ответственные за осмотры, одобрения и ввод солнечных станций в эксплуатацию.</w:t>
      </w:r>
    </w:p>
    <w:p w14:paraId="0BBE61C7" w14:textId="77777777" w:rsidR="003255DA" w:rsidRPr="00795157" w:rsidRDefault="003255DA" w:rsidP="003255DA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регуляторные барьеры и процедурные затруднения, препятствующие внедрению солнечных фотоэлектрических установок (включая, при необходимости, вопросы регулирования частоты электрической сети, автоматической защиты и т.д.).</w:t>
      </w:r>
    </w:p>
    <w:p w14:paraId="5EEF26C1" w14:textId="21B9CB76" w:rsidR="006D5E1A" w:rsidRPr="00795157" w:rsidRDefault="006D5E1A" w:rsidP="003255D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1c: Разработка политических рекомендаций</w:t>
      </w:r>
    </w:p>
    <w:p w14:paraId="17AEAE54" w14:textId="77777777" w:rsidR="006D5E1A" w:rsidRPr="006D5E1A" w:rsidRDefault="006D5E1A" w:rsidP="006D5E1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предложения по улучшению законодательства, процедур выдачи разрешений и требованиям соответствия.</w:t>
      </w:r>
    </w:p>
    <w:p w14:paraId="23629BCB" w14:textId="0636CFD7" w:rsidR="006D5E1A" w:rsidRPr="006D5E1A" w:rsidRDefault="006D5E1A" w:rsidP="006D5E1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внедрение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механизма «</w:t>
      </w:r>
      <w:r w:rsidR="003255DA" w:rsidRPr="0079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окна»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чёткими сроками и горячей линией.</w:t>
      </w:r>
    </w:p>
    <w:p w14:paraId="18FF74F8" w14:textId="77777777" w:rsidR="006D5E1A" w:rsidRPr="006D5E1A" w:rsidRDefault="006D5E1A" w:rsidP="006D5E1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оптимизацию процедур в соответствии с международной практикой и снижение административной нагрузки.</w:t>
      </w:r>
    </w:p>
    <w:p w14:paraId="1B3706BE" w14:textId="74DCABA0" w:rsidR="006D5E1A" w:rsidRPr="006D5E1A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части 1 будут представлены в </w:t>
      </w:r>
      <w:r w:rsidR="004E16FE"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Отчёте, по нормативно-рыночной оценке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анализом барьеров и предложениями по стимулированию сектора.</w:t>
      </w:r>
    </w:p>
    <w:p w14:paraId="290A66CA" w14:textId="7FD01D87" w:rsidR="006D5E1A" w:rsidRPr="006D5E1A" w:rsidRDefault="006D5E1A" w:rsidP="006D5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61CF7" w14:textId="77777777" w:rsidR="006D5E1A" w:rsidRPr="006D5E1A" w:rsidRDefault="006D5E1A" w:rsidP="003255DA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ПРАКТИЧЕСКАЯ ПОДДЕРЖКА И НАСТАВНИЧЕСТВО</w:t>
      </w:r>
    </w:p>
    <w:p w14:paraId="5E61F171" w14:textId="77777777" w:rsidR="006D5E1A" w:rsidRPr="006D5E1A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2a: Разработка типовых проектных решений для солнечных фотоэлектрических систем</w:t>
      </w:r>
    </w:p>
    <w:p w14:paraId="6E78615A" w14:textId="77777777" w:rsidR="006D5E1A" w:rsidRPr="006D5E1A" w:rsidRDefault="006D5E1A" w:rsidP="006D5E1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проектных решений для типовых </w:t>
      </w:r>
      <w:proofErr w:type="spellStart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микростанций</w:t>
      </w:r>
      <w:proofErr w:type="spellEnd"/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5, 10 и 15 кВт: электросхемы, расчёт кабелей, спецификации счётчиков и оборудования.</w:t>
      </w:r>
    </w:p>
    <w:p w14:paraId="1B3BA9B7" w14:textId="2BAA4BF2" w:rsidR="006D5E1A" w:rsidRPr="006D5E1A" w:rsidRDefault="006D5E1A" w:rsidP="006D5E1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этих проектов с Госэкспертизой при Государственном агентстве по архитектуре, строительству и ЖКХ КР (при необходимости 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«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окно» и горячую линию).</w:t>
      </w:r>
    </w:p>
    <w:p w14:paraId="5AEA9A3C" w14:textId="77777777" w:rsidR="006D5E1A" w:rsidRPr="006D5E1A" w:rsidRDefault="006D5E1A" w:rsidP="006D5E1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открытого доступа к утверждённым проектам через поставщиков и НЭСК для упрощения установки.</w:t>
      </w:r>
    </w:p>
    <w:p w14:paraId="508F5355" w14:textId="77777777" w:rsidR="003255DA" w:rsidRPr="00795157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2b: Пилотные подключения домохозяйств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52BD7F2" w14:textId="10D182B0" w:rsidR="006D5E1A" w:rsidRPr="006D5E1A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и процедурная поддержка 5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8 домохозяйствам:</w:t>
      </w:r>
    </w:p>
    <w:p w14:paraId="2E084B30" w14:textId="77777777" w:rsidR="006D5E1A" w:rsidRPr="006D5E1A" w:rsidRDefault="006D5E1A" w:rsidP="006D5E1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 юридической документации, топографической съёмке, разработке концептуального проекта станции, получении ТУ.</w:t>
      </w:r>
    </w:p>
    <w:p w14:paraId="0F39360D" w14:textId="77777777" w:rsidR="006D5E1A" w:rsidRPr="006D5E1A" w:rsidRDefault="006D5E1A" w:rsidP="006D5E1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 энергокомпанией: оборудование, системы защиты, счётчики, АГЗ, ИТУ.</w:t>
      </w:r>
    </w:p>
    <w:p w14:paraId="20DB3A63" w14:textId="77777777" w:rsidR="006D5E1A" w:rsidRPr="006D5E1A" w:rsidRDefault="006D5E1A" w:rsidP="006D5E1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и ввод в эксплуатацию (заземление, изоляция, акт пуска с надзорными органами).</w:t>
      </w:r>
    </w:p>
    <w:p w14:paraId="155B9B25" w14:textId="77777777" w:rsidR="006D5E1A" w:rsidRPr="006D5E1A" w:rsidRDefault="006D5E1A" w:rsidP="006D5E1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на поставку электроэнергии с НЭСК.</w:t>
      </w:r>
    </w:p>
    <w:p w14:paraId="765B903D" w14:textId="77777777" w:rsidR="006D5E1A" w:rsidRPr="006D5E1A" w:rsidRDefault="006D5E1A" w:rsidP="006D5E1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цифрового портала для подачи заявок и отслеживания решений в НЭСК.</w:t>
      </w:r>
    </w:p>
    <w:p w14:paraId="31B95E09" w14:textId="77777777" w:rsidR="006D5E1A" w:rsidRPr="006D5E1A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2c: Разработка подробного пошагового руководства</w:t>
      </w:r>
    </w:p>
    <w:p w14:paraId="2F594C13" w14:textId="77777777" w:rsidR="006D5E1A" w:rsidRPr="006D5E1A" w:rsidRDefault="006D5E1A" w:rsidP="006D5E1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контактных органов;</w:t>
      </w:r>
    </w:p>
    <w:p w14:paraId="0FC82F5A" w14:textId="77777777" w:rsidR="006D5E1A" w:rsidRPr="006D5E1A" w:rsidRDefault="006D5E1A" w:rsidP="006D5E1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Пошаговая инструкция для домохозяйств по установке, подключению и продаже энергии;</w:t>
      </w:r>
    </w:p>
    <w:p w14:paraId="0DCD36E3" w14:textId="77777777" w:rsidR="006D5E1A" w:rsidRPr="006D5E1A" w:rsidRDefault="006D5E1A" w:rsidP="006D5E1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Каталог типовых проектов.</w:t>
      </w:r>
    </w:p>
    <w:p w14:paraId="14BF55DE" w14:textId="590F10CA" w:rsidR="006D5E1A" w:rsidRPr="006D5E1A" w:rsidRDefault="006D5E1A" w:rsidP="003255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 пилотного опыта консульта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компания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оптимизации процедур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цифровизацию, «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окно» и иные решения для повышения доступности подключения.</w:t>
      </w:r>
    </w:p>
    <w:p w14:paraId="0B4DF05B" w14:textId="3203F764" w:rsidR="006D5E1A" w:rsidRPr="006D5E1A" w:rsidRDefault="006D5E1A" w:rsidP="006D5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A8A35" w14:textId="77777777" w:rsidR="006D5E1A" w:rsidRPr="006D5E1A" w:rsidRDefault="006D5E1A" w:rsidP="006D5E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РЕАЛИЗАЦИИ</w:t>
      </w:r>
    </w:p>
    <w:p w14:paraId="5764E11A" w14:textId="6496D5A6" w:rsidR="006D5E1A" w:rsidRPr="006D5E1A" w:rsidRDefault="006D5E1A" w:rsidP="003255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проекта является </w:t>
      </w:r>
      <w:r w:rsidR="003255DA" w:rsidRPr="0079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климатического финансирования при Кабинете Министров Кыргызской Республики.</w:t>
      </w:r>
    </w:p>
    <w:p w14:paraId="541C9815" w14:textId="5450123F" w:rsidR="006D5E1A" w:rsidRPr="006D5E1A" w:rsidRDefault="006D5E1A" w:rsidP="003255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отчёты (проекты и финальные) подлежат представлению на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английском и русском языках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электронном виде (Word, Excel, PDF). По запросу </w:t>
      </w:r>
      <w:r w:rsidR="003255DA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печатном. Ожидается, что большинство документов, подлежащих утверждению, должны быть также подготовлены на </w:t>
      </w:r>
      <w:r w:rsidRPr="006D5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 и кыргызском языках</w:t>
      </w:r>
      <w:r w:rsidRPr="006D5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EF7F9" w14:textId="0D89245D" w:rsidR="00AB5851" w:rsidRPr="00795157" w:rsidRDefault="00AB5851" w:rsidP="006D5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30CAC" w14:textId="77777777" w:rsidR="00B54B14" w:rsidRPr="00B54B14" w:rsidRDefault="00B54B14" w:rsidP="00B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РЕЗУЛЬТАТЫ</w:t>
      </w:r>
    </w:p>
    <w:p w14:paraId="5C6A2AED" w14:textId="48A1E9AD" w:rsidR="00B54B14" w:rsidRPr="00B54B14" w:rsidRDefault="00B54B14" w:rsidP="0079515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</w:t>
      </w:r>
      <w:r w:rsidR="00795157" w:rsidRPr="00795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компания</w:t>
      </w:r>
      <w:r w:rsidRPr="00B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 следующие ключевые результаты в соответствии со следующим графиком: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4B14" w:rsidRPr="00795157" w14:paraId="0E51D46C" w14:textId="77777777" w:rsidTr="00B54B14">
        <w:tc>
          <w:tcPr>
            <w:tcW w:w="4672" w:type="dxa"/>
          </w:tcPr>
          <w:p w14:paraId="6C3B1D57" w14:textId="30657266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4673" w:type="dxa"/>
          </w:tcPr>
          <w:p w14:paraId="32E174FD" w14:textId="32DED9D1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Ориентировочный срок</w:t>
            </w:r>
          </w:p>
        </w:tc>
      </w:tr>
      <w:tr w:rsidR="00B54B14" w:rsidRPr="00795157" w14:paraId="4B2BEE1C" w14:textId="77777777" w:rsidTr="00B54B14">
        <w:tc>
          <w:tcPr>
            <w:tcW w:w="4672" w:type="dxa"/>
          </w:tcPr>
          <w:p w14:paraId="744EE3C9" w14:textId="17CFCF00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Вступительный отчёт, содержащий собранную базовую информацию и предварительное описание подхода</w:t>
            </w:r>
          </w:p>
        </w:tc>
        <w:tc>
          <w:tcPr>
            <w:tcW w:w="4673" w:type="dxa"/>
          </w:tcPr>
          <w:p w14:paraId="11858AD6" w14:textId="77D6936B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2 месяца с даты подписания контракта</w:t>
            </w:r>
          </w:p>
        </w:tc>
      </w:tr>
      <w:tr w:rsidR="00B54B14" w:rsidRPr="00795157" w14:paraId="7D41526B" w14:textId="77777777" w:rsidTr="00B54B14">
        <w:tc>
          <w:tcPr>
            <w:tcW w:w="4672" w:type="dxa"/>
          </w:tcPr>
          <w:p w14:paraId="6F5A951D" w14:textId="50FFDAB3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4E16FE" w:rsidRPr="00795157">
              <w:rPr>
                <w:rFonts w:ascii="Times New Roman" w:hAnsi="Times New Roman" w:cs="Times New Roman"/>
                <w:sz w:val="24"/>
                <w:szCs w:val="24"/>
              </w:rPr>
              <w:t>отчёт, по нормативно-рыночной оценке,</w:t>
            </w: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 xml:space="preserve"> (Задачи 1a и 1b), включая выводы и отзывы заинтересованных сторон</w:t>
            </w:r>
          </w:p>
        </w:tc>
        <w:tc>
          <w:tcPr>
            <w:tcW w:w="4673" w:type="dxa"/>
          </w:tcPr>
          <w:p w14:paraId="01177DCA" w14:textId="133E72A7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4 месяца с даты подписания контракта</w:t>
            </w:r>
          </w:p>
        </w:tc>
      </w:tr>
      <w:tr w:rsidR="00B54B14" w:rsidRPr="00795157" w14:paraId="2F8E2736" w14:textId="77777777" w:rsidTr="00B54B14">
        <w:tc>
          <w:tcPr>
            <w:tcW w:w="4672" w:type="dxa"/>
          </w:tcPr>
          <w:p w14:paraId="4E03E13C" w14:textId="4064D456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</w:t>
            </w:r>
            <w:r w:rsidR="004E16FE" w:rsidRPr="00795157">
              <w:rPr>
                <w:rFonts w:ascii="Times New Roman" w:hAnsi="Times New Roman" w:cs="Times New Roman"/>
                <w:sz w:val="24"/>
                <w:szCs w:val="24"/>
              </w:rPr>
              <w:t>отчёт, по нормативно-рыночной оценке,</w:t>
            </w: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 xml:space="preserve"> (Задачи 1a, 1b и 1c) — выводы и рекомендации, включая окончательный согласованный проект решения/постановления/закона</w:t>
            </w:r>
          </w:p>
        </w:tc>
        <w:tc>
          <w:tcPr>
            <w:tcW w:w="4673" w:type="dxa"/>
          </w:tcPr>
          <w:p w14:paraId="05E4A4AD" w14:textId="457FBA86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6 месяцев с даты подписания контракта</w:t>
            </w:r>
          </w:p>
        </w:tc>
      </w:tr>
      <w:tr w:rsidR="00B54B14" w:rsidRPr="00795157" w14:paraId="201345E4" w14:textId="77777777" w:rsidTr="00B54B14">
        <w:tc>
          <w:tcPr>
            <w:tcW w:w="4672" w:type="dxa"/>
          </w:tcPr>
          <w:p w14:paraId="7B831C74" w14:textId="2711ECF9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Утверждённая документация по стандартным проектным решениям для солнечных PV-систем в форматах, пригодных для широкого распространения среди заинтересованных сторон (Задача 2a)</w:t>
            </w:r>
          </w:p>
        </w:tc>
        <w:tc>
          <w:tcPr>
            <w:tcW w:w="4673" w:type="dxa"/>
          </w:tcPr>
          <w:p w14:paraId="6FE7862C" w14:textId="45E78AC7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8 месяцев с даты подписания контракта</w:t>
            </w:r>
          </w:p>
        </w:tc>
      </w:tr>
      <w:tr w:rsidR="00B54B14" w:rsidRPr="00795157" w14:paraId="0008439F" w14:textId="77777777" w:rsidTr="00B54B14">
        <w:tc>
          <w:tcPr>
            <w:tcW w:w="4672" w:type="dxa"/>
          </w:tcPr>
          <w:p w14:paraId="1E6CF1B4" w14:textId="5BE85F58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Подробное пошаговое руководство для частных домохозяйств (Задача 2c)</w:t>
            </w:r>
          </w:p>
        </w:tc>
        <w:tc>
          <w:tcPr>
            <w:tcW w:w="4673" w:type="dxa"/>
          </w:tcPr>
          <w:p w14:paraId="548150DE" w14:textId="19E708C3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10 месяцев с даты подписания контракта</w:t>
            </w:r>
          </w:p>
        </w:tc>
      </w:tr>
      <w:tr w:rsidR="00B54B14" w:rsidRPr="00795157" w14:paraId="09BF32DD" w14:textId="77777777" w:rsidTr="00B54B14">
        <w:tc>
          <w:tcPr>
            <w:tcW w:w="4672" w:type="dxa"/>
          </w:tcPr>
          <w:p w14:paraId="5816DE9C" w14:textId="42598171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Итоговый отчёт, содержащий полную информацию о достигнутых результатах, представленных продуктах, выводах и рекомендациях</w:t>
            </w:r>
          </w:p>
        </w:tc>
        <w:tc>
          <w:tcPr>
            <w:tcW w:w="4673" w:type="dxa"/>
          </w:tcPr>
          <w:p w14:paraId="0066FB31" w14:textId="44E3F983" w:rsidR="00B54B14" w:rsidRPr="00795157" w:rsidRDefault="00795157" w:rsidP="006D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57">
              <w:rPr>
                <w:rFonts w:ascii="Times New Roman" w:hAnsi="Times New Roman" w:cs="Times New Roman"/>
                <w:sz w:val="24"/>
                <w:szCs w:val="24"/>
              </w:rPr>
              <w:t>Через 12 месяцев с даты подписания контракта</w:t>
            </w:r>
          </w:p>
        </w:tc>
      </w:tr>
    </w:tbl>
    <w:p w14:paraId="15105C87" w14:textId="77777777" w:rsidR="00B54B14" w:rsidRPr="00795157" w:rsidRDefault="00B54B14" w:rsidP="006D5E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4B14" w:rsidRPr="0079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58"/>
    <w:multiLevelType w:val="multilevel"/>
    <w:tmpl w:val="586C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3DEA"/>
    <w:multiLevelType w:val="hybridMultilevel"/>
    <w:tmpl w:val="C536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198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67B1"/>
    <w:multiLevelType w:val="multilevel"/>
    <w:tmpl w:val="9C8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83F4C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B0123"/>
    <w:multiLevelType w:val="multilevel"/>
    <w:tmpl w:val="863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F6F59"/>
    <w:multiLevelType w:val="multilevel"/>
    <w:tmpl w:val="E1B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1796C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306C1"/>
    <w:multiLevelType w:val="multilevel"/>
    <w:tmpl w:val="841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F0ADC"/>
    <w:multiLevelType w:val="hybridMultilevel"/>
    <w:tmpl w:val="478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EB0"/>
    <w:multiLevelType w:val="multilevel"/>
    <w:tmpl w:val="3F9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C7523"/>
    <w:multiLevelType w:val="multilevel"/>
    <w:tmpl w:val="2F9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B558F"/>
    <w:multiLevelType w:val="multilevel"/>
    <w:tmpl w:val="0F0C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678"/>
    <w:multiLevelType w:val="multilevel"/>
    <w:tmpl w:val="A17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8541A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C1377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13C1C"/>
    <w:multiLevelType w:val="hybridMultilevel"/>
    <w:tmpl w:val="EC1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3A72"/>
    <w:multiLevelType w:val="multilevel"/>
    <w:tmpl w:val="DAA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2501C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F4F9A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F4AE4"/>
    <w:multiLevelType w:val="hybridMultilevel"/>
    <w:tmpl w:val="B132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77987"/>
    <w:multiLevelType w:val="hybridMultilevel"/>
    <w:tmpl w:val="0A8A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0EE8"/>
    <w:multiLevelType w:val="multilevel"/>
    <w:tmpl w:val="3D6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B32EC"/>
    <w:multiLevelType w:val="multilevel"/>
    <w:tmpl w:val="9FE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127ED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A77C4"/>
    <w:multiLevelType w:val="hybridMultilevel"/>
    <w:tmpl w:val="5A642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8172F"/>
    <w:multiLevelType w:val="multilevel"/>
    <w:tmpl w:val="495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30277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61C61"/>
    <w:multiLevelType w:val="multilevel"/>
    <w:tmpl w:val="CBE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01A30"/>
    <w:multiLevelType w:val="multilevel"/>
    <w:tmpl w:val="8CF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56B36"/>
    <w:multiLevelType w:val="multilevel"/>
    <w:tmpl w:val="9ECA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65E31"/>
    <w:multiLevelType w:val="multilevel"/>
    <w:tmpl w:val="D5A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0"/>
  </w:num>
  <w:num w:numId="5">
    <w:abstractNumId w:val="28"/>
  </w:num>
  <w:num w:numId="6">
    <w:abstractNumId w:val="13"/>
  </w:num>
  <w:num w:numId="7">
    <w:abstractNumId w:val="12"/>
  </w:num>
  <w:num w:numId="8">
    <w:abstractNumId w:val="22"/>
  </w:num>
  <w:num w:numId="9">
    <w:abstractNumId w:val="3"/>
  </w:num>
  <w:num w:numId="10">
    <w:abstractNumId w:val="6"/>
  </w:num>
  <w:num w:numId="11">
    <w:abstractNumId w:val="11"/>
  </w:num>
  <w:num w:numId="12">
    <w:abstractNumId w:val="15"/>
  </w:num>
  <w:num w:numId="13">
    <w:abstractNumId w:val="23"/>
  </w:num>
  <w:num w:numId="14">
    <w:abstractNumId w:val="26"/>
  </w:num>
  <w:num w:numId="15">
    <w:abstractNumId w:val="8"/>
  </w:num>
  <w:num w:numId="16">
    <w:abstractNumId w:val="29"/>
  </w:num>
  <w:num w:numId="17">
    <w:abstractNumId w:val="17"/>
  </w:num>
  <w:num w:numId="18">
    <w:abstractNumId w:val="21"/>
  </w:num>
  <w:num w:numId="19">
    <w:abstractNumId w:val="9"/>
  </w:num>
  <w:num w:numId="20">
    <w:abstractNumId w:val="25"/>
  </w:num>
  <w:num w:numId="21">
    <w:abstractNumId w:val="4"/>
  </w:num>
  <w:num w:numId="22">
    <w:abstractNumId w:val="20"/>
  </w:num>
  <w:num w:numId="23">
    <w:abstractNumId w:val="16"/>
  </w:num>
  <w:num w:numId="24">
    <w:abstractNumId w:val="1"/>
  </w:num>
  <w:num w:numId="25">
    <w:abstractNumId w:val="18"/>
  </w:num>
  <w:num w:numId="26">
    <w:abstractNumId w:val="31"/>
  </w:num>
  <w:num w:numId="27">
    <w:abstractNumId w:val="14"/>
  </w:num>
  <w:num w:numId="28">
    <w:abstractNumId w:val="19"/>
  </w:num>
  <w:num w:numId="29">
    <w:abstractNumId w:val="7"/>
  </w:num>
  <w:num w:numId="30">
    <w:abstractNumId w:val="2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51"/>
    <w:rsid w:val="000D7CDA"/>
    <w:rsid w:val="002E298B"/>
    <w:rsid w:val="003255DA"/>
    <w:rsid w:val="004E16FE"/>
    <w:rsid w:val="006D5E1A"/>
    <w:rsid w:val="00795157"/>
    <w:rsid w:val="008065FE"/>
    <w:rsid w:val="00917DC7"/>
    <w:rsid w:val="00984D95"/>
    <w:rsid w:val="00AB5851"/>
    <w:rsid w:val="00B54B14"/>
    <w:rsid w:val="00F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1C73"/>
  <w15:chartTrackingRefBased/>
  <w15:docId w15:val="{C8DD06C7-6FD2-4A03-A50C-E5A258F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C4F"/>
    <w:rPr>
      <w:b/>
      <w:bCs/>
    </w:rPr>
  </w:style>
  <w:style w:type="paragraph" w:styleId="a5">
    <w:name w:val="List Paragraph"/>
    <w:basedOn w:val="a"/>
    <w:uiPriority w:val="34"/>
    <w:qFormat/>
    <w:rsid w:val="00F84C4F"/>
    <w:pPr>
      <w:ind w:left="720"/>
      <w:contextualSpacing/>
    </w:pPr>
  </w:style>
  <w:style w:type="table" w:styleId="a6">
    <w:name w:val="Table Grid"/>
    <w:basedOn w:val="a1"/>
    <w:uiPriority w:val="39"/>
    <w:rsid w:val="00B5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2025-06-16T13:08:00Z</dcterms:created>
  <dcterms:modified xsi:type="dcterms:W3CDTF">2025-06-16T14:16:00Z</dcterms:modified>
</cp:coreProperties>
</file>