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F8819" w14:textId="77777777" w:rsidR="00516435" w:rsidRPr="0050308A" w:rsidRDefault="009E3152">
      <w:pPr>
        <w:pStyle w:val="1"/>
        <w:rPr>
          <w:lang w:val="ru-RU"/>
        </w:rPr>
      </w:pPr>
      <w:r w:rsidRPr="0050308A">
        <w:rPr>
          <w:lang w:val="ru-RU"/>
        </w:rPr>
        <w:t>Техническое задание</w:t>
      </w:r>
    </w:p>
    <w:p w14:paraId="6CE4E618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на отбор поставщика услуг по организации детского летнего лагеря на территории Чуйской области</w:t>
      </w:r>
    </w:p>
    <w:p w14:paraId="245C1DB5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1. Информация об организации</w:t>
      </w:r>
    </w:p>
    <w:p w14:paraId="7CEC6D4F" w14:textId="278A6DAE" w:rsidR="00516435" w:rsidRPr="0050308A" w:rsidRDefault="009E3152">
      <w:pPr>
        <w:rPr>
          <w:lang w:val="ru-RU"/>
        </w:rPr>
      </w:pPr>
      <w:r w:rsidRPr="0050308A">
        <w:rPr>
          <w:lang w:val="ru-RU"/>
        </w:rPr>
        <w:t>Общественный Фонд “SOS</w:t>
      </w:r>
      <w:r w:rsidR="0050308A" w:rsidRPr="0050308A">
        <w:rPr>
          <w:lang w:val="ru-RU"/>
        </w:rPr>
        <w:t>-</w:t>
      </w:r>
      <w:r w:rsidRPr="0050308A">
        <w:rPr>
          <w:lang w:val="ru-RU"/>
        </w:rPr>
        <w:t>Детские Деревни Кыргызстана” на протяжении более 29 лет оказывает помощь детям, оставшимся без попечения родителей, а также детям, находящимся в трудной жизненной ситуации. За годы работы организация поддержала более 8,000 детей и их семей через программы семейного ухода, реабилитации, психосоциальной поддержки и образовательные инициативы.</w:t>
      </w:r>
    </w:p>
    <w:p w14:paraId="152A779F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2. Цель тендера</w:t>
      </w:r>
    </w:p>
    <w:p w14:paraId="193BD56C" w14:textId="508C5244" w:rsidR="00516435" w:rsidRPr="0050308A" w:rsidRDefault="009E3152">
      <w:pPr>
        <w:rPr>
          <w:lang w:val="ru-RU"/>
        </w:rPr>
      </w:pPr>
      <w:r w:rsidRPr="0050308A">
        <w:rPr>
          <w:lang w:val="ru-RU"/>
        </w:rPr>
        <w:t>В рамках реализации проекта “Бактылуу Балалык”, Общественный Фонд “SOS</w:t>
      </w:r>
      <w:r w:rsidR="0050308A" w:rsidRPr="0050308A">
        <w:rPr>
          <w:lang w:val="ru-RU"/>
        </w:rPr>
        <w:t>-</w:t>
      </w:r>
      <w:r w:rsidRPr="0050308A">
        <w:rPr>
          <w:lang w:val="ru-RU"/>
        </w:rPr>
        <w:t>Детские Деревни Кыргызстана” объявляет тендер на отбор поставщика услуг по организации и проведению летнего лагеря для детей на территории Чуйской области.</w:t>
      </w:r>
    </w:p>
    <w:p w14:paraId="27774EBA" w14:textId="77777777" w:rsidR="00516435" w:rsidRPr="0050308A" w:rsidRDefault="009E3152">
      <w:pPr>
        <w:pStyle w:val="21"/>
        <w:rPr>
          <w:lang w:val="ru-RU"/>
        </w:rPr>
      </w:pPr>
      <w:bookmarkStart w:id="0" w:name="_GoBack"/>
      <w:r w:rsidRPr="0050308A">
        <w:rPr>
          <w:lang w:val="ru-RU"/>
        </w:rPr>
        <w:t>3. Период и место реализации</w:t>
      </w:r>
    </w:p>
    <w:p w14:paraId="2713FBC8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Срок проведения лагеря: 13 июля – 22 июля 2025 года</w:t>
      </w:r>
    </w:p>
    <w:p w14:paraId="44AEE2B3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Регион проведения: Чуйская область (исключая г. Бишкек)</w:t>
      </w:r>
    </w:p>
    <w:p w14:paraId="043BCBF7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4. Объём и требования к услугам</w:t>
      </w:r>
    </w:p>
    <w:p w14:paraId="050C7B88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Поставщик должен предоставить:</w:t>
      </w:r>
    </w:p>
    <w:p w14:paraId="4AEBB7BE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4.1. Размещение</w:t>
      </w:r>
    </w:p>
    <w:p w14:paraId="4FF4DBB9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Информация о номерном фонде: количество, тип (одноместные, двухместные и пр.), фото, санитарное состояние</w:t>
      </w:r>
    </w:p>
    <w:p w14:paraId="7F9E3107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Общая вместимость: не менее 35–50 человек</w:t>
      </w:r>
    </w:p>
    <w:p w14:paraId="72CBDE2A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Условия для сопровождающих взрослых (вожатых/персонала)</w:t>
      </w:r>
    </w:p>
    <w:p w14:paraId="1216DE95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4.2. Питание</w:t>
      </w:r>
    </w:p>
    <w:p w14:paraId="1265AE35" w14:textId="0CDEDC66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 xml:space="preserve">Организация сбалансированного и безопасного </w:t>
      </w:r>
      <w:r w:rsidR="0050308A">
        <w:rPr>
          <w:lang w:val="ru-RU"/>
        </w:rPr>
        <w:t>3</w:t>
      </w:r>
      <w:r w:rsidRPr="0050308A">
        <w:rPr>
          <w:lang w:val="ru-RU"/>
        </w:rPr>
        <w:t>-</w:t>
      </w:r>
      <w:r w:rsidR="0050308A">
        <w:rPr>
          <w:lang w:val="ru-RU"/>
        </w:rPr>
        <w:t xml:space="preserve">5 </w:t>
      </w:r>
      <w:r w:rsidRPr="0050308A">
        <w:rPr>
          <w:lang w:val="ru-RU"/>
        </w:rPr>
        <w:t>разового питания</w:t>
      </w:r>
    </w:p>
    <w:p w14:paraId="61D8E3F2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Возможность предоставления специальных рационов (вегетарианский, гипоаллергенный, диетический)</w:t>
      </w:r>
    </w:p>
    <w:p w14:paraId="58AD99B2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Подтверждение соблюдения санитарно-гигиенических норм</w:t>
      </w:r>
    </w:p>
    <w:p w14:paraId="16EE3941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4.3. Транспорт и логистика</w:t>
      </w:r>
    </w:p>
    <w:p w14:paraId="4C172231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Трансфер участников лагеря в оба конца</w:t>
      </w:r>
    </w:p>
    <w:p w14:paraId="2E8798C1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Доступность локации и наличие парковки для транспорта</w:t>
      </w:r>
    </w:p>
    <w:p w14:paraId="22FBED9F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lastRenderedPageBreak/>
        <w:t>4.4. Конференц-пространство</w:t>
      </w:r>
    </w:p>
    <w:p w14:paraId="35D7A782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Наличие одного или нескольких залов вместимостью от 30 до 70 человек</w:t>
      </w:r>
    </w:p>
    <w:p w14:paraId="2D41E94A" w14:textId="71140DD1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Наличие технического оснащения: проектор, экран, флипчарты, маркеры, Wi-Fi</w:t>
      </w:r>
      <w:r w:rsidR="0050308A">
        <w:rPr>
          <w:lang w:val="ru-RU"/>
        </w:rPr>
        <w:t xml:space="preserve"> и т.д.</w:t>
      </w:r>
    </w:p>
    <w:p w14:paraId="549F8529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Возможность организации групповой работы и тренингов</w:t>
      </w:r>
    </w:p>
    <w:p w14:paraId="06C46877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4.5. Досуговые и образовательные мероприятия</w:t>
      </w:r>
    </w:p>
    <w:p w14:paraId="37E8464B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Безопасная игровая зона и/или спортплощадки</w:t>
      </w:r>
    </w:p>
    <w:p w14:paraId="64DD7366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Инфраструктура для дополнительных активностей (бассейн, катание на лошадях и т.д.)</w:t>
      </w:r>
    </w:p>
    <w:p w14:paraId="1EA10D30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Возможность привлечения аниматоров, педагогов, тренеров</w:t>
      </w:r>
    </w:p>
    <w:p w14:paraId="2383AAF4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4.6. Безопасность и здоровье</w:t>
      </w:r>
    </w:p>
    <w:p w14:paraId="0D42152E" w14:textId="65B52A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Круглосуточная</w:t>
      </w:r>
      <w:r w:rsidR="0050308A">
        <w:t>/</w:t>
      </w:r>
      <w:r w:rsidR="0050308A">
        <w:rPr>
          <w:lang w:val="ru-RU"/>
        </w:rPr>
        <w:t>ночная</w:t>
      </w:r>
      <w:r w:rsidRPr="0050308A">
        <w:rPr>
          <w:lang w:val="ru-RU"/>
        </w:rPr>
        <w:t xml:space="preserve"> охрана территории</w:t>
      </w:r>
    </w:p>
    <w:p w14:paraId="3B334494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Медицинский работник на территории лагеря</w:t>
      </w:r>
    </w:p>
    <w:p w14:paraId="38DAA474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Тревожная кнопка или связь с экстренными службами</w:t>
      </w:r>
    </w:p>
    <w:p w14:paraId="36E3C2F1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Наличие аптечки первой помощи</w:t>
      </w:r>
    </w:p>
    <w:p w14:paraId="5ABA785B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4.7. Инклюзия и доступность</w:t>
      </w:r>
    </w:p>
    <w:p w14:paraId="3EA82EF9" w14:textId="01A94BC8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 xml:space="preserve">Условия для участия детей с </w:t>
      </w:r>
      <w:r w:rsidR="0050308A">
        <w:rPr>
          <w:lang w:val="ru-RU"/>
        </w:rPr>
        <w:t xml:space="preserve">инвалидностью и с </w:t>
      </w:r>
      <w:r w:rsidRPr="0050308A">
        <w:rPr>
          <w:lang w:val="ru-RU"/>
        </w:rPr>
        <w:t xml:space="preserve">ограниченными </w:t>
      </w:r>
      <w:r w:rsidR="0050308A">
        <w:rPr>
          <w:lang w:val="ru-RU"/>
        </w:rPr>
        <w:t xml:space="preserve">физическими </w:t>
      </w:r>
      <w:r w:rsidRPr="0050308A">
        <w:rPr>
          <w:lang w:val="ru-RU"/>
        </w:rPr>
        <w:t>возможностями</w:t>
      </w:r>
    </w:p>
    <w:p w14:paraId="551EE038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Учет культурного и языкового многообразия</w:t>
      </w:r>
    </w:p>
    <w:p w14:paraId="1C8CB56A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Соблюдение стандартов защиты детей</w:t>
      </w:r>
    </w:p>
    <w:p w14:paraId="5D185AA7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4.8. Документальное сопровождение</w:t>
      </w:r>
    </w:p>
    <w:p w14:paraId="0A5AACE3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Наличие ИП или юридической регистрации</w:t>
      </w:r>
    </w:p>
    <w:p w14:paraId="53A72960" w14:textId="77777777" w:rsidR="00516435" w:rsidRPr="0050308A" w:rsidRDefault="009E3152">
      <w:pPr>
        <w:pStyle w:val="20"/>
        <w:rPr>
          <w:lang w:val="ru-RU"/>
        </w:rPr>
      </w:pPr>
      <w:r w:rsidRPr="0050308A">
        <w:rPr>
          <w:lang w:val="ru-RU"/>
        </w:rPr>
        <w:t>Возможность предоставления всех необходимых бухгалтерских и юридических документов</w:t>
      </w:r>
    </w:p>
    <w:p w14:paraId="4EEB2875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5. Критерии оценки предложений</w:t>
      </w:r>
    </w:p>
    <w:p w14:paraId="2E7BEF84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Критерии включают:</w:t>
      </w:r>
    </w:p>
    <w:p w14:paraId="63A05AB7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География — экологически чистая зона Чуйской области (исключая Бишкек)</w:t>
      </w:r>
    </w:p>
    <w:p w14:paraId="19C50E6D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Безопасность — охрана, медработник, аптечка и средства экстренной связи</w:t>
      </w:r>
    </w:p>
    <w:p w14:paraId="37C72D50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Соответствие всем требованиям ТЗ</w:t>
      </w:r>
    </w:p>
    <w:p w14:paraId="6F221500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Подтвержденный опыт работы с детьми</w:t>
      </w:r>
    </w:p>
    <w:p w14:paraId="098C9105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Хорошая репутация и отзывы</w:t>
      </w:r>
    </w:p>
    <w:p w14:paraId="70A43592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Прозрачность и обоснованность цен</w:t>
      </w:r>
    </w:p>
    <w:p w14:paraId="66A80A30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Достаточная инфраструктура</w:t>
      </w:r>
    </w:p>
    <w:p w14:paraId="579BBFDC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Инклюзивность и доступность</w:t>
      </w:r>
    </w:p>
    <w:bookmarkEnd w:id="0"/>
    <w:p w14:paraId="0D1C2E65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lastRenderedPageBreak/>
        <w:t>Соблюдение стандартов по защите детей</w:t>
      </w:r>
    </w:p>
    <w:p w14:paraId="0D2C9982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6. Требования к коммерческому предложению</w:t>
      </w:r>
    </w:p>
    <w:p w14:paraId="0309C847" w14:textId="77777777" w:rsidR="00516435" w:rsidRPr="0050308A" w:rsidRDefault="009E3152">
      <w:pPr>
        <w:rPr>
          <w:lang w:val="ru-RU"/>
        </w:rPr>
      </w:pPr>
      <w:r w:rsidRPr="0050308A">
        <w:rPr>
          <w:lang w:val="ru-RU"/>
        </w:rPr>
        <w:t>Коммерческое предложение должно содержать:</w:t>
      </w:r>
    </w:p>
    <w:p w14:paraId="2954FA2D" w14:textId="5AB9767A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Информацию об организации/ИП, контактные данные и регистрационные документы</w:t>
      </w:r>
      <w:r>
        <w:rPr>
          <w:lang w:val="ru-RU"/>
        </w:rPr>
        <w:t>, для этого необходимо заполнить Приложение №1.</w:t>
      </w:r>
    </w:p>
    <w:p w14:paraId="3C0E5489" w14:textId="4B573CB9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Подробное описание услуг с ценами (в сомах, включая налоги)</w:t>
      </w:r>
      <w:r>
        <w:rPr>
          <w:lang w:val="ru-RU"/>
        </w:rPr>
        <w:t>, для этого необходимо заполнить Приложение №2.</w:t>
      </w:r>
    </w:p>
    <w:p w14:paraId="0CCDE17E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Фотографии территории, комнат, залов и зон отдыха</w:t>
      </w:r>
    </w:p>
    <w:p w14:paraId="51504A75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Условия оплаты и срок действия предложения (не менее 14 рабочих дней)</w:t>
      </w:r>
    </w:p>
    <w:p w14:paraId="10454060" w14:textId="77777777" w:rsidR="00516435" w:rsidRPr="0050308A" w:rsidRDefault="009E3152">
      <w:pPr>
        <w:pStyle w:val="a0"/>
        <w:rPr>
          <w:lang w:val="ru-RU"/>
        </w:rPr>
      </w:pPr>
      <w:r w:rsidRPr="0050308A">
        <w:rPr>
          <w:lang w:val="ru-RU"/>
        </w:rPr>
        <w:t>Рекомендательные письма или ссылки на успешные проекты (если есть)</w:t>
      </w:r>
    </w:p>
    <w:p w14:paraId="4BC35C7F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7. Порядок подачи заявок</w:t>
      </w:r>
    </w:p>
    <w:p w14:paraId="20C041C4" w14:textId="6959AF3A" w:rsidR="00516435" w:rsidRPr="0050308A" w:rsidRDefault="009E3152">
      <w:pPr>
        <w:rPr>
          <w:lang w:val="ru-RU"/>
        </w:rPr>
      </w:pPr>
      <w:r w:rsidRPr="0050308A">
        <w:rPr>
          <w:lang w:val="ru-RU"/>
        </w:rPr>
        <w:t>Форма подачи: по электронной почте</w:t>
      </w:r>
      <w:r w:rsidRPr="0050308A">
        <w:rPr>
          <w:lang w:val="ru-RU"/>
        </w:rPr>
        <w:br/>
        <w:t>Тема письма: Оказание услуг по организации детского летнего лагеря</w:t>
      </w:r>
      <w:r>
        <w:rPr>
          <w:lang w:val="ru-RU"/>
        </w:rPr>
        <w:t xml:space="preserve"> 2025</w:t>
      </w:r>
      <w:r w:rsidRPr="0050308A">
        <w:rPr>
          <w:lang w:val="ru-RU"/>
        </w:rPr>
        <w:br/>
        <w:t>Адрес для подачи заявок:</w:t>
      </w:r>
      <w:r w:rsidR="00C97494" w:rsidRPr="00C97494">
        <w:rPr>
          <w:lang w:val="ru-RU"/>
        </w:rPr>
        <w:t xml:space="preserve"> </w:t>
      </w:r>
      <w:r w:rsidR="00C97494">
        <w:t>info</w:t>
      </w:r>
      <w:r w:rsidR="00C97494" w:rsidRPr="00C97494">
        <w:rPr>
          <w:lang w:val="ru-RU"/>
        </w:rPr>
        <w:t>@</w:t>
      </w:r>
      <w:r w:rsidR="00C97494">
        <w:t>soskyrgyzstan</w:t>
      </w:r>
      <w:r w:rsidR="00C97494" w:rsidRPr="00C97494">
        <w:rPr>
          <w:lang w:val="ru-RU"/>
        </w:rPr>
        <w:t>.</w:t>
      </w:r>
      <w:r w:rsidR="00C97494">
        <w:t>kg</w:t>
      </w:r>
      <w:r w:rsidRPr="0050308A">
        <w:rPr>
          <w:lang w:val="ru-RU"/>
        </w:rPr>
        <w:br/>
        <w:t xml:space="preserve">Крайний срок: </w:t>
      </w:r>
      <w:r>
        <w:rPr>
          <w:lang w:val="ru-RU"/>
        </w:rPr>
        <w:t>27</w:t>
      </w:r>
      <w:r w:rsidRPr="0050308A">
        <w:rPr>
          <w:lang w:val="ru-RU"/>
        </w:rPr>
        <w:t xml:space="preserve"> июня 2025 г., до 17:00 (время Бишкек)</w:t>
      </w:r>
    </w:p>
    <w:p w14:paraId="0AA7B693" w14:textId="77777777" w:rsidR="00516435" w:rsidRPr="0050308A" w:rsidRDefault="009E3152">
      <w:pPr>
        <w:pStyle w:val="21"/>
        <w:rPr>
          <w:lang w:val="ru-RU"/>
        </w:rPr>
      </w:pPr>
      <w:r w:rsidRPr="0050308A">
        <w:rPr>
          <w:lang w:val="ru-RU"/>
        </w:rPr>
        <w:t>8. Дополнительные условия</w:t>
      </w:r>
    </w:p>
    <w:p w14:paraId="5F13EBFC" w14:textId="57B9234D" w:rsidR="00516435" w:rsidRPr="0050308A" w:rsidRDefault="009E3152">
      <w:pPr>
        <w:rPr>
          <w:lang w:val="ru-RU"/>
        </w:rPr>
      </w:pPr>
      <w:r w:rsidRPr="0050308A">
        <w:rPr>
          <w:lang w:val="ru-RU"/>
        </w:rPr>
        <w:t>Общественный Фонд “SOS</w:t>
      </w:r>
      <w:r>
        <w:rPr>
          <w:lang w:val="ru-RU"/>
        </w:rPr>
        <w:t>-</w:t>
      </w:r>
      <w:r w:rsidRPr="0050308A">
        <w:rPr>
          <w:lang w:val="ru-RU"/>
        </w:rPr>
        <w:t>Детские Деревни Кыргызстана” оставляет за собой право связаться только с поставщиками, прошедшими предварительный отбор. Участие в тендере не гарантирует подписание договора.</w:t>
      </w:r>
    </w:p>
    <w:sectPr w:rsidR="00516435" w:rsidRPr="005030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308A"/>
    <w:rsid w:val="00516435"/>
    <w:rsid w:val="008835FB"/>
    <w:rsid w:val="009E3152"/>
    <w:rsid w:val="00AA1D8D"/>
    <w:rsid w:val="00B47730"/>
    <w:rsid w:val="00C9749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CD47803D-26CD-4F72-BEC7-928C84D3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3922D1-02C7-42DC-8EF0-A11E93BA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Degenbaeva Chinara</cp:lastModifiedBy>
  <cp:revision>3</cp:revision>
  <dcterms:created xsi:type="dcterms:W3CDTF">2013-12-23T23:15:00Z</dcterms:created>
  <dcterms:modified xsi:type="dcterms:W3CDTF">2025-06-13T08:03:00Z</dcterms:modified>
  <cp:category/>
</cp:coreProperties>
</file>